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360"/>
        <w:gridCol w:w="905"/>
        <w:gridCol w:w="1844"/>
        <w:gridCol w:w="1438"/>
        <w:gridCol w:w="704"/>
        <w:gridCol w:w="759"/>
        <w:gridCol w:w="881"/>
        <w:gridCol w:w="497"/>
      </w:tblGrid>
      <w:tr w:rsidR="00E34569" w14:paraId="3314E9C4" w14:textId="77777777" w:rsidTr="00AA6484">
        <w:trPr>
          <w:trHeight w:val="101"/>
          <w:jc w:val="center"/>
        </w:trPr>
        <w:tc>
          <w:tcPr>
            <w:tcW w:w="1411" w:type="dxa"/>
            <w:vMerge w:val="restart"/>
            <w:shd w:val="clear" w:color="auto" w:fill="D9D9D9"/>
            <w:vAlign w:val="center"/>
          </w:tcPr>
          <w:p w14:paraId="54A4A998" w14:textId="77777777" w:rsidR="00E34569" w:rsidRPr="000D0D3C" w:rsidRDefault="00E34569" w:rsidP="00E34569">
            <w:pPr>
              <w:pStyle w:val="NoSpacing"/>
              <w:rPr>
                <w:b/>
              </w:rPr>
            </w:pPr>
            <w:r w:rsidRPr="000D0D3C">
              <w:rPr>
                <w:rFonts w:hint="eastAsia"/>
                <w:b/>
              </w:rPr>
              <w:t>F</w:t>
            </w:r>
            <w:r w:rsidRPr="000D0D3C">
              <w:rPr>
                <w:b/>
              </w:rPr>
              <w:t>aculty Information</w:t>
            </w:r>
          </w:p>
        </w:tc>
        <w:tc>
          <w:tcPr>
            <w:tcW w:w="2265" w:type="dxa"/>
            <w:gridSpan w:val="2"/>
            <w:shd w:val="clear" w:color="auto" w:fill="EDEDED"/>
            <w:vAlign w:val="center"/>
          </w:tcPr>
          <w:p w14:paraId="4C0B0F93" w14:textId="77777777" w:rsidR="00E34569" w:rsidRPr="000D0D3C" w:rsidRDefault="00E34569" w:rsidP="00E34569">
            <w:pPr>
              <w:pStyle w:val="NoSpacing"/>
              <w:jc w:val="center"/>
              <w:rPr>
                <w:b/>
              </w:rPr>
            </w:pPr>
            <w:r w:rsidRPr="000D0D3C">
              <w:rPr>
                <w:rFonts w:hint="eastAsia"/>
                <w:b/>
              </w:rPr>
              <w:t>Name</w:t>
            </w:r>
          </w:p>
        </w:tc>
        <w:tc>
          <w:tcPr>
            <w:tcW w:w="6123" w:type="dxa"/>
            <w:gridSpan w:val="6"/>
          </w:tcPr>
          <w:p w14:paraId="5F614EB2" w14:textId="1532EBC2" w:rsidR="00E34569" w:rsidRDefault="00E34569" w:rsidP="00E34569">
            <w:pPr>
              <w:pStyle w:val="NoSpacing"/>
            </w:pPr>
            <w:r>
              <w:rPr>
                <w:rFonts w:hint="eastAsia"/>
                <w:color w:val="000000"/>
                <w:szCs w:val="20"/>
              </w:rPr>
              <w:t>M.K. Kim</w:t>
            </w:r>
          </w:p>
        </w:tc>
      </w:tr>
      <w:tr w:rsidR="00E34569" w14:paraId="36E92354" w14:textId="77777777" w:rsidTr="00AA6484">
        <w:trPr>
          <w:trHeight w:val="101"/>
          <w:jc w:val="center"/>
        </w:trPr>
        <w:tc>
          <w:tcPr>
            <w:tcW w:w="1411" w:type="dxa"/>
            <w:vMerge/>
            <w:shd w:val="clear" w:color="auto" w:fill="D9D9D9"/>
          </w:tcPr>
          <w:p w14:paraId="4458DBA5" w14:textId="77777777" w:rsidR="00E34569" w:rsidRPr="000D0D3C" w:rsidRDefault="00E34569" w:rsidP="00E34569">
            <w:pPr>
              <w:pStyle w:val="NoSpacing"/>
              <w:rPr>
                <w:b/>
              </w:rPr>
            </w:pPr>
          </w:p>
        </w:tc>
        <w:tc>
          <w:tcPr>
            <w:tcW w:w="2265" w:type="dxa"/>
            <w:gridSpan w:val="2"/>
            <w:shd w:val="clear" w:color="auto" w:fill="EDEDED"/>
            <w:vAlign w:val="center"/>
          </w:tcPr>
          <w:p w14:paraId="1FEF21CF" w14:textId="77777777" w:rsidR="00E34569" w:rsidRPr="000D0D3C" w:rsidRDefault="00E34569" w:rsidP="00E34569">
            <w:pPr>
              <w:pStyle w:val="NoSpacing"/>
              <w:jc w:val="center"/>
              <w:rPr>
                <w:b/>
              </w:rPr>
            </w:pPr>
            <w:r w:rsidRPr="000D0D3C">
              <w:rPr>
                <w:rFonts w:hint="eastAsia"/>
                <w:b/>
              </w:rPr>
              <w:t>E-mail</w:t>
            </w:r>
          </w:p>
        </w:tc>
        <w:tc>
          <w:tcPr>
            <w:tcW w:w="6123" w:type="dxa"/>
            <w:gridSpan w:val="6"/>
          </w:tcPr>
          <w:p w14:paraId="33F0C603" w14:textId="5D8B2FD1" w:rsidR="00E34569" w:rsidRDefault="00E34569" w:rsidP="00E34569">
            <w:pPr>
              <w:pStyle w:val="NoSpacing"/>
            </w:pPr>
            <w:hyperlink r:id="rId8" w:history="1">
              <w:r w:rsidRPr="00920566">
                <w:rPr>
                  <w:rStyle w:val="Hyperlink"/>
                  <w:rFonts w:hint="eastAsia"/>
                  <w:szCs w:val="20"/>
                </w:rPr>
                <w:t>myungkyo@hanyang.ac.kr</w:t>
              </w:r>
            </w:hyperlink>
          </w:p>
        </w:tc>
      </w:tr>
      <w:tr w:rsidR="00E34569" w14:paraId="484A2BC5" w14:textId="77777777" w:rsidTr="00AA6484">
        <w:trPr>
          <w:trHeight w:val="101"/>
          <w:jc w:val="center"/>
        </w:trPr>
        <w:tc>
          <w:tcPr>
            <w:tcW w:w="1411" w:type="dxa"/>
            <w:vMerge/>
            <w:shd w:val="clear" w:color="auto" w:fill="D9D9D9"/>
          </w:tcPr>
          <w:p w14:paraId="28FD16DF" w14:textId="77777777" w:rsidR="00E34569" w:rsidRPr="000D0D3C" w:rsidRDefault="00E34569" w:rsidP="00E34569">
            <w:pPr>
              <w:pStyle w:val="NoSpacing"/>
              <w:rPr>
                <w:b/>
              </w:rPr>
            </w:pPr>
          </w:p>
        </w:tc>
        <w:tc>
          <w:tcPr>
            <w:tcW w:w="2265" w:type="dxa"/>
            <w:gridSpan w:val="2"/>
            <w:shd w:val="clear" w:color="auto" w:fill="EDEDED"/>
            <w:vAlign w:val="center"/>
          </w:tcPr>
          <w:p w14:paraId="10633C2F" w14:textId="77777777" w:rsidR="00E34569" w:rsidRPr="000D0D3C" w:rsidRDefault="00E34569" w:rsidP="00E34569">
            <w:pPr>
              <w:pStyle w:val="NoSpacing"/>
              <w:jc w:val="center"/>
              <w:rPr>
                <w:b/>
              </w:rPr>
            </w:pPr>
            <w:r w:rsidRPr="000D0D3C">
              <w:rPr>
                <w:rFonts w:hint="eastAsia"/>
                <w:b/>
              </w:rPr>
              <w:t>Home University</w:t>
            </w:r>
          </w:p>
        </w:tc>
        <w:tc>
          <w:tcPr>
            <w:tcW w:w="6123" w:type="dxa"/>
            <w:gridSpan w:val="6"/>
          </w:tcPr>
          <w:p w14:paraId="4A08A260" w14:textId="3FB64390" w:rsidR="00E34569" w:rsidRDefault="00E34569" w:rsidP="00E34569">
            <w:pPr>
              <w:pStyle w:val="NoSpacing"/>
            </w:pPr>
            <w:r>
              <w:rPr>
                <w:rFonts w:hint="eastAsia"/>
                <w:color w:val="000000"/>
                <w:szCs w:val="20"/>
              </w:rPr>
              <w:t>Hanyang University</w:t>
            </w:r>
          </w:p>
        </w:tc>
      </w:tr>
      <w:tr w:rsidR="00E34569" w14:paraId="14E0E1CA" w14:textId="77777777" w:rsidTr="00AA6484">
        <w:trPr>
          <w:trHeight w:val="101"/>
          <w:jc w:val="center"/>
        </w:trPr>
        <w:tc>
          <w:tcPr>
            <w:tcW w:w="1411" w:type="dxa"/>
            <w:vMerge/>
            <w:shd w:val="clear" w:color="auto" w:fill="D9D9D9"/>
          </w:tcPr>
          <w:p w14:paraId="607DF7CF" w14:textId="77777777" w:rsidR="00E34569" w:rsidRPr="000D0D3C" w:rsidRDefault="00E34569" w:rsidP="00E34569">
            <w:pPr>
              <w:pStyle w:val="NoSpacing"/>
              <w:rPr>
                <w:b/>
              </w:rPr>
            </w:pPr>
          </w:p>
        </w:tc>
        <w:tc>
          <w:tcPr>
            <w:tcW w:w="2265" w:type="dxa"/>
            <w:gridSpan w:val="2"/>
            <w:shd w:val="clear" w:color="auto" w:fill="EDEDED"/>
            <w:vAlign w:val="center"/>
          </w:tcPr>
          <w:p w14:paraId="5B98B8D5" w14:textId="77777777" w:rsidR="00E34569" w:rsidRPr="000D0D3C" w:rsidRDefault="00E34569" w:rsidP="00E34569">
            <w:pPr>
              <w:pStyle w:val="NoSpacing"/>
              <w:jc w:val="center"/>
              <w:rPr>
                <w:b/>
              </w:rPr>
            </w:pPr>
            <w:r w:rsidRPr="000D0D3C">
              <w:rPr>
                <w:rFonts w:hint="eastAsia"/>
                <w:b/>
              </w:rPr>
              <w:t>Department</w:t>
            </w:r>
          </w:p>
        </w:tc>
        <w:tc>
          <w:tcPr>
            <w:tcW w:w="6123" w:type="dxa"/>
            <w:gridSpan w:val="6"/>
          </w:tcPr>
          <w:p w14:paraId="0CF7AE28" w14:textId="4E4AAE99" w:rsidR="00E34569" w:rsidRDefault="00E34569" w:rsidP="00E34569">
            <w:pPr>
              <w:pStyle w:val="NoSpacing"/>
            </w:pPr>
            <w:r>
              <w:rPr>
                <w:rFonts w:hint="eastAsia"/>
                <w:color w:val="000000"/>
                <w:szCs w:val="20"/>
              </w:rPr>
              <w:t>School of Business</w:t>
            </w:r>
          </w:p>
        </w:tc>
      </w:tr>
      <w:tr w:rsidR="00E34569" w14:paraId="3464B2B4" w14:textId="77777777" w:rsidTr="00AA6484">
        <w:trPr>
          <w:trHeight w:val="101"/>
          <w:jc w:val="center"/>
        </w:trPr>
        <w:tc>
          <w:tcPr>
            <w:tcW w:w="1411" w:type="dxa"/>
            <w:vMerge/>
            <w:shd w:val="clear" w:color="auto" w:fill="D9D9D9"/>
          </w:tcPr>
          <w:p w14:paraId="1242D123" w14:textId="77777777" w:rsidR="00E34569" w:rsidRPr="000D0D3C" w:rsidRDefault="00E34569" w:rsidP="00E34569">
            <w:pPr>
              <w:pStyle w:val="NoSpacing"/>
              <w:rPr>
                <w:b/>
              </w:rPr>
            </w:pPr>
          </w:p>
        </w:tc>
        <w:tc>
          <w:tcPr>
            <w:tcW w:w="2265" w:type="dxa"/>
            <w:gridSpan w:val="2"/>
            <w:shd w:val="clear" w:color="auto" w:fill="EDEDED"/>
            <w:vAlign w:val="center"/>
          </w:tcPr>
          <w:p w14:paraId="285DDB85" w14:textId="77777777" w:rsidR="00E34569" w:rsidRPr="000D0D3C" w:rsidRDefault="00E34569" w:rsidP="00E34569">
            <w:pPr>
              <w:pStyle w:val="NoSpacing"/>
              <w:jc w:val="center"/>
              <w:rPr>
                <w:b/>
              </w:rPr>
            </w:pPr>
            <w:r w:rsidRPr="000D0D3C">
              <w:rPr>
                <w:rFonts w:hint="eastAsia"/>
                <w:b/>
              </w:rPr>
              <w:t>Homepage</w:t>
            </w:r>
          </w:p>
        </w:tc>
        <w:tc>
          <w:tcPr>
            <w:tcW w:w="6123" w:type="dxa"/>
            <w:gridSpan w:val="6"/>
          </w:tcPr>
          <w:p w14:paraId="33BB52D0" w14:textId="6FC2AF64" w:rsidR="00E34569" w:rsidRDefault="001F5227" w:rsidP="00E34569">
            <w:pPr>
              <w:pStyle w:val="NoSpacing"/>
            </w:pPr>
            <w:hyperlink r:id="rId9" w:history="1">
              <w:r w:rsidRPr="00D807C2">
                <w:rPr>
                  <w:rStyle w:val="Hyperlink"/>
                  <w:szCs w:val="20"/>
                </w:rPr>
                <w:t>http://bit.ly/MKK_HUBS</w:t>
              </w:r>
              <w:r w:rsidRPr="00D807C2">
                <w:rPr>
                  <w:rStyle w:val="Hyperlink"/>
                  <w:rFonts w:hint="eastAsia"/>
                  <w:szCs w:val="20"/>
                </w:rPr>
                <w:t>1</w:t>
              </w:r>
            </w:hyperlink>
          </w:p>
        </w:tc>
      </w:tr>
      <w:tr w:rsidR="005D2FED" w14:paraId="11434FA3" w14:textId="77777777" w:rsidTr="00AA6484">
        <w:trPr>
          <w:trHeight w:val="101"/>
          <w:jc w:val="center"/>
        </w:trPr>
        <w:tc>
          <w:tcPr>
            <w:tcW w:w="1411" w:type="dxa"/>
            <w:vMerge w:val="restart"/>
            <w:shd w:val="clear" w:color="auto" w:fill="D9D9D9"/>
            <w:vAlign w:val="center"/>
          </w:tcPr>
          <w:p w14:paraId="162885A0" w14:textId="77777777" w:rsidR="005D2FED" w:rsidRPr="000D0D3C" w:rsidRDefault="005D2FED" w:rsidP="00175E6D">
            <w:pPr>
              <w:pStyle w:val="NoSpacing"/>
              <w:rPr>
                <w:b/>
              </w:rPr>
            </w:pPr>
            <w:r w:rsidRPr="000D0D3C">
              <w:rPr>
                <w:rFonts w:hint="eastAsia"/>
                <w:b/>
              </w:rPr>
              <w:t>Course Information</w:t>
            </w:r>
          </w:p>
        </w:tc>
        <w:tc>
          <w:tcPr>
            <w:tcW w:w="2265" w:type="dxa"/>
            <w:gridSpan w:val="2"/>
            <w:shd w:val="clear" w:color="auto" w:fill="EDEDED"/>
            <w:vAlign w:val="center"/>
          </w:tcPr>
          <w:p w14:paraId="2B9B039F" w14:textId="77777777" w:rsidR="005D2FED" w:rsidRPr="000D0D3C" w:rsidRDefault="005D2FED" w:rsidP="000D0D3C">
            <w:pPr>
              <w:pStyle w:val="NoSpacing"/>
              <w:jc w:val="center"/>
              <w:rPr>
                <w:b/>
              </w:rPr>
            </w:pPr>
            <w:r w:rsidRPr="000D0D3C">
              <w:rPr>
                <w:rFonts w:hint="eastAsia"/>
                <w:b/>
              </w:rPr>
              <w:t>Class No.</w:t>
            </w:r>
          </w:p>
        </w:tc>
        <w:tc>
          <w:tcPr>
            <w:tcW w:w="1844" w:type="dxa"/>
          </w:tcPr>
          <w:p w14:paraId="74E6C2F3" w14:textId="77777777" w:rsidR="005D2FED" w:rsidRDefault="00223234" w:rsidP="00734A80">
            <w:pPr>
              <w:pStyle w:val="NoSpacing"/>
              <w:jc w:val="center"/>
            </w:pPr>
            <w:r>
              <w:rPr>
                <w:rFonts w:hint="eastAsia"/>
              </w:rPr>
              <w:t>TBA</w:t>
            </w:r>
          </w:p>
        </w:tc>
        <w:tc>
          <w:tcPr>
            <w:tcW w:w="1438" w:type="dxa"/>
            <w:shd w:val="clear" w:color="auto" w:fill="EDEDED"/>
            <w:vAlign w:val="center"/>
          </w:tcPr>
          <w:p w14:paraId="53D1DC76" w14:textId="77777777" w:rsidR="005D2FED" w:rsidRPr="000D0D3C" w:rsidRDefault="005D2FED" w:rsidP="000D0D3C">
            <w:pPr>
              <w:pStyle w:val="NoSpacing"/>
              <w:jc w:val="center"/>
              <w:rPr>
                <w:b/>
              </w:rPr>
            </w:pPr>
            <w:r w:rsidRPr="000D0D3C">
              <w:rPr>
                <w:rFonts w:hint="eastAsia"/>
                <w:b/>
              </w:rPr>
              <w:t>Cour</w:t>
            </w:r>
            <w:r w:rsidRPr="000D0D3C">
              <w:rPr>
                <w:b/>
              </w:rPr>
              <w:t>se Code</w:t>
            </w:r>
          </w:p>
        </w:tc>
        <w:tc>
          <w:tcPr>
            <w:tcW w:w="1463" w:type="dxa"/>
            <w:gridSpan w:val="2"/>
          </w:tcPr>
          <w:p w14:paraId="35038232" w14:textId="310F61C4" w:rsidR="005D2FED" w:rsidRDefault="00E34569" w:rsidP="00B202A2">
            <w:pPr>
              <w:pStyle w:val="NoSpacing"/>
              <w:jc w:val="center"/>
            </w:pPr>
            <w:r>
              <w:rPr>
                <w:rFonts w:hint="eastAsia"/>
              </w:rPr>
              <w:t>TBA</w:t>
            </w:r>
          </w:p>
        </w:tc>
        <w:tc>
          <w:tcPr>
            <w:tcW w:w="881" w:type="dxa"/>
            <w:shd w:val="clear" w:color="auto" w:fill="EDEDED"/>
            <w:vAlign w:val="center"/>
          </w:tcPr>
          <w:p w14:paraId="62A67E25" w14:textId="77777777" w:rsidR="005D2FED" w:rsidRPr="000D0D3C" w:rsidRDefault="005D2FED" w:rsidP="000D0D3C">
            <w:pPr>
              <w:pStyle w:val="NoSpacing"/>
              <w:jc w:val="center"/>
              <w:rPr>
                <w:b/>
              </w:rPr>
            </w:pPr>
            <w:r w:rsidRPr="000D0D3C">
              <w:rPr>
                <w:rFonts w:hint="eastAsia"/>
                <w:b/>
              </w:rPr>
              <w:t>Credits</w:t>
            </w:r>
          </w:p>
        </w:tc>
        <w:tc>
          <w:tcPr>
            <w:tcW w:w="497" w:type="dxa"/>
            <w:vAlign w:val="center"/>
          </w:tcPr>
          <w:p w14:paraId="2842444F" w14:textId="3BF20F6C" w:rsidR="005D2FED" w:rsidRDefault="00E34569" w:rsidP="000D0D3C">
            <w:pPr>
              <w:pStyle w:val="NoSpacing"/>
              <w:jc w:val="center"/>
            </w:pPr>
            <w:r>
              <w:rPr>
                <w:rFonts w:hint="eastAsia"/>
              </w:rPr>
              <w:t>3</w:t>
            </w:r>
          </w:p>
        </w:tc>
      </w:tr>
      <w:tr w:rsidR="005D2FED" w14:paraId="62C23169" w14:textId="77777777" w:rsidTr="00AA6484">
        <w:trPr>
          <w:trHeight w:val="101"/>
          <w:jc w:val="center"/>
        </w:trPr>
        <w:tc>
          <w:tcPr>
            <w:tcW w:w="1411" w:type="dxa"/>
            <w:vMerge/>
            <w:shd w:val="clear" w:color="auto" w:fill="D9D9D9"/>
            <w:vAlign w:val="center"/>
          </w:tcPr>
          <w:p w14:paraId="5E52D7E3" w14:textId="77777777" w:rsidR="005D2FED" w:rsidRPr="000D0D3C" w:rsidRDefault="005D2FED" w:rsidP="00175E6D">
            <w:pPr>
              <w:pStyle w:val="NoSpacing"/>
              <w:rPr>
                <w:b/>
              </w:rPr>
            </w:pPr>
          </w:p>
        </w:tc>
        <w:tc>
          <w:tcPr>
            <w:tcW w:w="2265" w:type="dxa"/>
            <w:gridSpan w:val="2"/>
            <w:shd w:val="clear" w:color="auto" w:fill="EDEDED"/>
            <w:vAlign w:val="center"/>
          </w:tcPr>
          <w:p w14:paraId="2B30F7BB" w14:textId="77777777" w:rsidR="005D2FED" w:rsidRPr="000D0D3C" w:rsidRDefault="005D2FED" w:rsidP="000D0D3C">
            <w:pPr>
              <w:pStyle w:val="NoSpacing"/>
              <w:jc w:val="center"/>
              <w:rPr>
                <w:b/>
              </w:rPr>
            </w:pPr>
            <w:r w:rsidRPr="000D0D3C">
              <w:rPr>
                <w:rFonts w:hint="eastAsia"/>
                <w:b/>
              </w:rPr>
              <w:t>Course Name</w:t>
            </w:r>
          </w:p>
        </w:tc>
        <w:tc>
          <w:tcPr>
            <w:tcW w:w="6123" w:type="dxa"/>
            <w:gridSpan w:val="6"/>
          </w:tcPr>
          <w:p w14:paraId="109C99BA" w14:textId="07F2A229" w:rsidR="00175E6D" w:rsidRDefault="00E34569" w:rsidP="00734A80">
            <w:pPr>
              <w:pStyle w:val="NoSpacing"/>
              <w:jc w:val="center"/>
            </w:pPr>
            <w:r>
              <w:rPr>
                <w:rFonts w:hint="eastAsia"/>
                <w:color w:val="000000"/>
                <w:szCs w:val="20"/>
              </w:rPr>
              <w:t>ESG Supply Chain Management</w:t>
            </w:r>
          </w:p>
        </w:tc>
      </w:tr>
      <w:tr w:rsidR="005D2FED" w14:paraId="42FCFD9F" w14:textId="77777777" w:rsidTr="00AA6484">
        <w:trPr>
          <w:trHeight w:val="101"/>
          <w:jc w:val="center"/>
        </w:trPr>
        <w:tc>
          <w:tcPr>
            <w:tcW w:w="1411" w:type="dxa"/>
            <w:vMerge/>
            <w:shd w:val="clear" w:color="auto" w:fill="D9D9D9"/>
            <w:vAlign w:val="center"/>
          </w:tcPr>
          <w:p w14:paraId="4EEE75DD" w14:textId="77777777" w:rsidR="005D2FED" w:rsidRPr="000D0D3C" w:rsidRDefault="005D2FED" w:rsidP="00175E6D">
            <w:pPr>
              <w:pStyle w:val="NoSpacing"/>
              <w:rPr>
                <w:b/>
              </w:rPr>
            </w:pPr>
          </w:p>
        </w:tc>
        <w:tc>
          <w:tcPr>
            <w:tcW w:w="2265" w:type="dxa"/>
            <w:gridSpan w:val="2"/>
            <w:shd w:val="clear" w:color="auto" w:fill="EDEDED"/>
            <w:vAlign w:val="center"/>
          </w:tcPr>
          <w:p w14:paraId="2D2C8EA1" w14:textId="77777777" w:rsidR="005D2FED" w:rsidRPr="000D0D3C" w:rsidRDefault="005D2FED" w:rsidP="000D0D3C">
            <w:pPr>
              <w:pStyle w:val="NoSpacing"/>
              <w:jc w:val="center"/>
              <w:rPr>
                <w:b/>
              </w:rPr>
            </w:pPr>
            <w:r w:rsidRPr="000D0D3C">
              <w:rPr>
                <w:rFonts w:hint="eastAsia"/>
                <w:b/>
              </w:rPr>
              <w:t>Lecture Schedule</w:t>
            </w:r>
          </w:p>
        </w:tc>
        <w:tc>
          <w:tcPr>
            <w:tcW w:w="6123" w:type="dxa"/>
            <w:gridSpan w:val="6"/>
          </w:tcPr>
          <w:p w14:paraId="21688D2F" w14:textId="1A6D234F" w:rsidR="005D2FED" w:rsidRDefault="00223234" w:rsidP="00CE096B">
            <w:pPr>
              <w:pStyle w:val="NoSpacing"/>
              <w:jc w:val="center"/>
            </w:pPr>
            <w:r>
              <w:t>M</w:t>
            </w:r>
            <w:r w:rsidR="00CE096B">
              <w:rPr>
                <w:rFonts w:hint="eastAsia"/>
              </w:rPr>
              <w:t>on-</w:t>
            </w:r>
            <w:r w:rsidR="004D2D67">
              <w:t>Fri</w:t>
            </w:r>
            <w:r>
              <w:rPr>
                <w:rFonts w:hint="eastAsia"/>
              </w:rPr>
              <w:t xml:space="preserve"> / </w:t>
            </w:r>
            <w:r w:rsidR="00E34569" w:rsidRPr="00E34569">
              <w:t>09:00~15:00</w:t>
            </w:r>
          </w:p>
        </w:tc>
      </w:tr>
      <w:tr w:rsidR="005D2FED" w14:paraId="217E0871" w14:textId="77777777" w:rsidTr="00AA6484">
        <w:trPr>
          <w:trHeight w:val="246"/>
          <w:jc w:val="center"/>
        </w:trPr>
        <w:tc>
          <w:tcPr>
            <w:tcW w:w="1411" w:type="dxa"/>
            <w:vMerge/>
            <w:shd w:val="clear" w:color="auto" w:fill="D9D9D9"/>
            <w:vAlign w:val="center"/>
          </w:tcPr>
          <w:p w14:paraId="7E9A836A" w14:textId="77777777" w:rsidR="005D2FED" w:rsidRPr="000D0D3C" w:rsidRDefault="005D2FED" w:rsidP="00175E6D">
            <w:pPr>
              <w:pStyle w:val="NoSpacing"/>
              <w:rPr>
                <w:b/>
              </w:rPr>
            </w:pPr>
          </w:p>
        </w:tc>
        <w:tc>
          <w:tcPr>
            <w:tcW w:w="2265" w:type="dxa"/>
            <w:gridSpan w:val="2"/>
            <w:shd w:val="clear" w:color="auto" w:fill="EDEDED"/>
            <w:vAlign w:val="center"/>
          </w:tcPr>
          <w:p w14:paraId="08B084BA" w14:textId="77777777" w:rsidR="005D2FED" w:rsidRPr="000D0D3C" w:rsidRDefault="005D2FED" w:rsidP="000D0D3C">
            <w:pPr>
              <w:pStyle w:val="NoSpacing"/>
              <w:jc w:val="center"/>
              <w:rPr>
                <w:b/>
              </w:rPr>
            </w:pPr>
            <w:r w:rsidRPr="000D0D3C">
              <w:rPr>
                <w:rFonts w:hint="eastAsia"/>
                <w:b/>
              </w:rPr>
              <w:t>Course Description</w:t>
            </w:r>
          </w:p>
        </w:tc>
        <w:tc>
          <w:tcPr>
            <w:tcW w:w="6123" w:type="dxa"/>
            <w:gridSpan w:val="6"/>
          </w:tcPr>
          <w:p w14:paraId="76E099ED" w14:textId="6102A075" w:rsidR="005D2FED" w:rsidRDefault="00E34569" w:rsidP="004E05A4">
            <w:pPr>
              <w:pStyle w:val="NoSpacing"/>
            </w:pPr>
            <w:r w:rsidRPr="00E34569">
              <w:t>This undergraduate course introduces Environmental, Social, and Governance (ESG) principles in supply chain management. Students will explore how companies can create sustainable, ethical, and transparent supply chains while maintaining operational efficiency. The course balances conceptual understanding with practical applications, including quantitative methods where appropriate, to demonstrate how ESG integration creates value for all stakeholders.</w:t>
            </w:r>
          </w:p>
        </w:tc>
      </w:tr>
      <w:tr w:rsidR="005D2FED" w14:paraId="6FD607AE" w14:textId="77777777" w:rsidTr="00AA6484">
        <w:trPr>
          <w:trHeight w:val="246"/>
          <w:jc w:val="center"/>
        </w:trPr>
        <w:tc>
          <w:tcPr>
            <w:tcW w:w="1411" w:type="dxa"/>
            <w:vMerge/>
            <w:shd w:val="clear" w:color="auto" w:fill="D9D9D9"/>
            <w:vAlign w:val="center"/>
          </w:tcPr>
          <w:p w14:paraId="7B16ADE4" w14:textId="77777777" w:rsidR="005D2FED" w:rsidRPr="000D0D3C" w:rsidRDefault="005D2FED" w:rsidP="00175E6D">
            <w:pPr>
              <w:pStyle w:val="NoSpacing"/>
              <w:rPr>
                <w:b/>
              </w:rPr>
            </w:pPr>
          </w:p>
        </w:tc>
        <w:tc>
          <w:tcPr>
            <w:tcW w:w="2265" w:type="dxa"/>
            <w:gridSpan w:val="2"/>
            <w:shd w:val="clear" w:color="auto" w:fill="EDEDED"/>
            <w:vAlign w:val="center"/>
          </w:tcPr>
          <w:p w14:paraId="3019F1AD" w14:textId="77777777" w:rsidR="005D2FED" w:rsidRPr="000D0D3C" w:rsidRDefault="005D2FED" w:rsidP="000D0D3C">
            <w:pPr>
              <w:pStyle w:val="NoSpacing"/>
              <w:jc w:val="center"/>
              <w:rPr>
                <w:b/>
              </w:rPr>
            </w:pPr>
            <w:r w:rsidRPr="000D0D3C">
              <w:rPr>
                <w:rFonts w:hint="eastAsia"/>
                <w:b/>
              </w:rPr>
              <w:t>Course Objective</w:t>
            </w:r>
          </w:p>
        </w:tc>
        <w:tc>
          <w:tcPr>
            <w:tcW w:w="6123" w:type="dxa"/>
            <w:gridSpan w:val="6"/>
          </w:tcPr>
          <w:p w14:paraId="54542BAD" w14:textId="77777777" w:rsidR="00E34569" w:rsidRPr="00EF7985" w:rsidRDefault="00E34569" w:rsidP="00E34569">
            <w:pPr>
              <w:pBdr>
                <w:top w:val="nil"/>
                <w:left w:val="nil"/>
                <w:bottom w:val="nil"/>
                <w:right w:val="nil"/>
                <w:between w:val="nil"/>
              </w:pBdr>
              <w:spacing w:after="0" w:line="240" w:lineRule="auto"/>
              <w:rPr>
                <w:color w:val="000000"/>
                <w:szCs w:val="20"/>
              </w:rPr>
            </w:pPr>
            <w:r w:rsidRPr="00EF7985">
              <w:rPr>
                <w:color w:val="000000"/>
                <w:szCs w:val="20"/>
              </w:rPr>
              <w:t>Upon completion of this course, students will be able to:</w:t>
            </w:r>
          </w:p>
          <w:p w14:paraId="3C1C647D" w14:textId="77777777" w:rsidR="00E34569" w:rsidRPr="00EF7985" w:rsidRDefault="00E34569" w:rsidP="00E34569">
            <w:pPr>
              <w:pStyle w:val="ListParagraph"/>
              <w:numPr>
                <w:ilvl w:val="0"/>
                <w:numId w:val="7"/>
              </w:numPr>
              <w:pBdr>
                <w:top w:val="nil"/>
                <w:left w:val="nil"/>
                <w:bottom w:val="nil"/>
                <w:right w:val="nil"/>
                <w:between w:val="nil"/>
              </w:pBdr>
              <w:spacing w:after="0" w:line="240" w:lineRule="auto"/>
              <w:ind w:leftChars="0" w:left="457" w:hanging="284"/>
              <w:rPr>
                <w:color w:val="000000"/>
                <w:szCs w:val="20"/>
              </w:rPr>
            </w:pPr>
            <w:r w:rsidRPr="00EF7985">
              <w:rPr>
                <w:color w:val="000000"/>
                <w:szCs w:val="20"/>
              </w:rPr>
              <w:t>Understand and apply ESG frameworks to supply chain operations</w:t>
            </w:r>
          </w:p>
          <w:p w14:paraId="2847E4AE" w14:textId="77777777" w:rsidR="00E34569" w:rsidRPr="00EF7985" w:rsidRDefault="00E34569" w:rsidP="00E34569">
            <w:pPr>
              <w:pStyle w:val="ListParagraph"/>
              <w:numPr>
                <w:ilvl w:val="0"/>
                <w:numId w:val="7"/>
              </w:numPr>
              <w:pBdr>
                <w:top w:val="nil"/>
                <w:left w:val="nil"/>
                <w:bottom w:val="nil"/>
                <w:right w:val="nil"/>
                <w:between w:val="nil"/>
              </w:pBdr>
              <w:spacing w:after="0" w:line="240" w:lineRule="auto"/>
              <w:ind w:leftChars="0" w:left="457" w:hanging="284"/>
              <w:rPr>
                <w:color w:val="000000"/>
                <w:szCs w:val="20"/>
              </w:rPr>
            </w:pPr>
            <w:r w:rsidRPr="00EF7985">
              <w:rPr>
                <w:color w:val="000000"/>
                <w:szCs w:val="20"/>
              </w:rPr>
              <w:t>Analyze environmental impacts and develop sustainable operational strategies</w:t>
            </w:r>
          </w:p>
          <w:p w14:paraId="691CB5CF" w14:textId="77777777" w:rsidR="00E34569" w:rsidRPr="00EF7985" w:rsidRDefault="00E34569" w:rsidP="00E34569">
            <w:pPr>
              <w:pStyle w:val="ListParagraph"/>
              <w:numPr>
                <w:ilvl w:val="0"/>
                <w:numId w:val="7"/>
              </w:numPr>
              <w:pBdr>
                <w:top w:val="nil"/>
                <w:left w:val="nil"/>
                <w:bottom w:val="nil"/>
                <w:right w:val="nil"/>
                <w:between w:val="nil"/>
              </w:pBdr>
              <w:spacing w:after="0" w:line="240" w:lineRule="auto"/>
              <w:ind w:leftChars="0" w:left="457" w:hanging="284"/>
              <w:rPr>
                <w:color w:val="000000"/>
                <w:szCs w:val="20"/>
              </w:rPr>
            </w:pPr>
            <w:r w:rsidRPr="00EF7985">
              <w:rPr>
                <w:color w:val="000000"/>
                <w:szCs w:val="20"/>
              </w:rPr>
              <w:t>Evaluate social responsibility and ethical considerations in global supply chains</w:t>
            </w:r>
          </w:p>
          <w:p w14:paraId="0D77B4CC" w14:textId="77777777" w:rsidR="00E34569" w:rsidRPr="00EF7985" w:rsidRDefault="00E34569" w:rsidP="00E34569">
            <w:pPr>
              <w:pStyle w:val="ListParagraph"/>
              <w:numPr>
                <w:ilvl w:val="0"/>
                <w:numId w:val="7"/>
              </w:numPr>
              <w:pBdr>
                <w:top w:val="nil"/>
                <w:left w:val="nil"/>
                <w:bottom w:val="nil"/>
                <w:right w:val="nil"/>
                <w:between w:val="nil"/>
              </w:pBdr>
              <w:spacing w:after="0" w:line="240" w:lineRule="auto"/>
              <w:ind w:leftChars="0" w:left="457" w:hanging="284"/>
              <w:rPr>
                <w:color w:val="000000"/>
                <w:szCs w:val="20"/>
              </w:rPr>
            </w:pPr>
            <w:r w:rsidRPr="00EF7985">
              <w:rPr>
                <w:color w:val="000000"/>
                <w:szCs w:val="20"/>
              </w:rPr>
              <w:t>Design governance structures for supply chain transparency and accountability</w:t>
            </w:r>
          </w:p>
          <w:p w14:paraId="18016B63" w14:textId="77777777" w:rsidR="00E34569" w:rsidRDefault="00E34569" w:rsidP="00E34569">
            <w:pPr>
              <w:pStyle w:val="ListParagraph"/>
              <w:numPr>
                <w:ilvl w:val="0"/>
                <w:numId w:val="7"/>
              </w:numPr>
              <w:pBdr>
                <w:top w:val="nil"/>
                <w:left w:val="nil"/>
                <w:bottom w:val="nil"/>
                <w:right w:val="nil"/>
                <w:between w:val="nil"/>
              </w:pBdr>
              <w:spacing w:after="0" w:line="240" w:lineRule="auto"/>
              <w:ind w:leftChars="0" w:left="457" w:hanging="284"/>
              <w:rPr>
                <w:color w:val="000000"/>
                <w:szCs w:val="20"/>
              </w:rPr>
            </w:pPr>
            <w:r w:rsidRPr="00EF7985">
              <w:rPr>
                <w:color w:val="000000"/>
                <w:szCs w:val="20"/>
              </w:rPr>
              <w:t>Apply quantitative tools to measure and improve ESG performance</w:t>
            </w:r>
          </w:p>
          <w:p w14:paraId="6E593869" w14:textId="3EE5FC00" w:rsidR="005D2FED" w:rsidRPr="00E34569" w:rsidRDefault="00E34569" w:rsidP="00E34569">
            <w:pPr>
              <w:pStyle w:val="ListParagraph"/>
              <w:numPr>
                <w:ilvl w:val="0"/>
                <w:numId w:val="7"/>
              </w:numPr>
              <w:pBdr>
                <w:top w:val="nil"/>
                <w:left w:val="nil"/>
                <w:bottom w:val="nil"/>
                <w:right w:val="nil"/>
                <w:between w:val="nil"/>
              </w:pBdr>
              <w:spacing w:after="0" w:line="240" w:lineRule="auto"/>
              <w:ind w:leftChars="0" w:left="457" w:hanging="284"/>
              <w:rPr>
                <w:color w:val="000000"/>
                <w:szCs w:val="20"/>
              </w:rPr>
            </w:pPr>
            <w:r w:rsidRPr="00E34569">
              <w:rPr>
                <w:color w:val="000000"/>
                <w:szCs w:val="20"/>
              </w:rPr>
              <w:t>Develop comprehensive ESG strategies through case analysis</w:t>
            </w:r>
          </w:p>
        </w:tc>
      </w:tr>
      <w:tr w:rsidR="005D2FED" w14:paraId="349BA2C2" w14:textId="77777777" w:rsidTr="00AA6484">
        <w:trPr>
          <w:trHeight w:val="246"/>
          <w:jc w:val="center"/>
        </w:trPr>
        <w:tc>
          <w:tcPr>
            <w:tcW w:w="1411" w:type="dxa"/>
            <w:vMerge/>
            <w:shd w:val="clear" w:color="auto" w:fill="D9D9D9"/>
            <w:vAlign w:val="center"/>
          </w:tcPr>
          <w:p w14:paraId="00F1A204" w14:textId="77777777" w:rsidR="005D2FED" w:rsidRPr="000D0D3C" w:rsidRDefault="005D2FED" w:rsidP="00175E6D">
            <w:pPr>
              <w:pStyle w:val="NoSpacing"/>
              <w:rPr>
                <w:b/>
              </w:rPr>
            </w:pPr>
          </w:p>
        </w:tc>
        <w:tc>
          <w:tcPr>
            <w:tcW w:w="2265" w:type="dxa"/>
            <w:gridSpan w:val="2"/>
            <w:shd w:val="clear" w:color="auto" w:fill="EDEDED"/>
            <w:vAlign w:val="center"/>
          </w:tcPr>
          <w:p w14:paraId="50E1140C" w14:textId="77777777" w:rsidR="005D2FED" w:rsidRPr="000D0D3C" w:rsidRDefault="005D2FED" w:rsidP="000D0D3C">
            <w:pPr>
              <w:pStyle w:val="NoSpacing"/>
              <w:jc w:val="center"/>
              <w:rPr>
                <w:b/>
              </w:rPr>
            </w:pPr>
            <w:r w:rsidRPr="000D0D3C">
              <w:rPr>
                <w:rFonts w:hint="eastAsia"/>
                <w:b/>
              </w:rPr>
              <w:t>Pre</w:t>
            </w:r>
            <w:r w:rsidRPr="000D0D3C">
              <w:rPr>
                <w:b/>
              </w:rPr>
              <w:t>requisite</w:t>
            </w:r>
          </w:p>
        </w:tc>
        <w:tc>
          <w:tcPr>
            <w:tcW w:w="6123" w:type="dxa"/>
            <w:gridSpan w:val="6"/>
            <w:vAlign w:val="center"/>
          </w:tcPr>
          <w:p w14:paraId="65CAEAB9" w14:textId="5011687D" w:rsidR="008C59DD" w:rsidRDefault="009A0858" w:rsidP="009A0858">
            <w:pPr>
              <w:pStyle w:val="NoSpacing"/>
              <w:ind w:left="400"/>
            </w:pPr>
            <w:r>
              <w:rPr>
                <w:rFonts w:hint="eastAsia"/>
              </w:rPr>
              <w:t>-</w:t>
            </w:r>
          </w:p>
        </w:tc>
      </w:tr>
      <w:tr w:rsidR="005D2FED" w14:paraId="30CAC606" w14:textId="77777777" w:rsidTr="00AA6484">
        <w:trPr>
          <w:trHeight w:val="246"/>
          <w:jc w:val="center"/>
        </w:trPr>
        <w:tc>
          <w:tcPr>
            <w:tcW w:w="1411" w:type="dxa"/>
            <w:vMerge/>
            <w:shd w:val="clear" w:color="auto" w:fill="D9D9D9"/>
            <w:vAlign w:val="center"/>
          </w:tcPr>
          <w:p w14:paraId="51BFC75D" w14:textId="77777777" w:rsidR="005D2FED" w:rsidRPr="000D0D3C" w:rsidRDefault="005D2FED" w:rsidP="00175E6D">
            <w:pPr>
              <w:pStyle w:val="NoSpacing"/>
              <w:rPr>
                <w:b/>
              </w:rPr>
            </w:pPr>
          </w:p>
        </w:tc>
        <w:tc>
          <w:tcPr>
            <w:tcW w:w="2265" w:type="dxa"/>
            <w:gridSpan w:val="2"/>
            <w:shd w:val="clear" w:color="auto" w:fill="EDEDED"/>
            <w:vAlign w:val="center"/>
          </w:tcPr>
          <w:p w14:paraId="45502149" w14:textId="77777777" w:rsidR="005D2FED" w:rsidRPr="000D0D3C" w:rsidRDefault="005D2FED" w:rsidP="000D0D3C">
            <w:pPr>
              <w:pStyle w:val="NoSpacing"/>
              <w:jc w:val="center"/>
              <w:rPr>
                <w:b/>
              </w:rPr>
            </w:pPr>
            <w:r w:rsidRPr="000D0D3C">
              <w:rPr>
                <w:rFonts w:hint="eastAsia"/>
                <w:b/>
              </w:rPr>
              <w:t>Materials/Textbooks</w:t>
            </w:r>
          </w:p>
        </w:tc>
        <w:tc>
          <w:tcPr>
            <w:tcW w:w="6123" w:type="dxa"/>
            <w:gridSpan w:val="6"/>
            <w:vAlign w:val="center"/>
          </w:tcPr>
          <w:p w14:paraId="2E19D9F1" w14:textId="7F838DA6" w:rsidR="005D2FED" w:rsidRDefault="009A0858" w:rsidP="009A0858">
            <w:pPr>
              <w:pStyle w:val="NoSpacing"/>
              <w:ind w:left="400"/>
            </w:pPr>
            <w:r>
              <w:rPr>
                <w:rFonts w:hint="eastAsia"/>
              </w:rPr>
              <w:t>-</w:t>
            </w:r>
          </w:p>
        </w:tc>
      </w:tr>
      <w:tr w:rsidR="00E34569" w14:paraId="37C270F5" w14:textId="77777777" w:rsidTr="00AA6484">
        <w:trPr>
          <w:trHeight w:val="101"/>
          <w:jc w:val="center"/>
        </w:trPr>
        <w:tc>
          <w:tcPr>
            <w:tcW w:w="1411" w:type="dxa"/>
            <w:vMerge w:val="restart"/>
            <w:shd w:val="clear" w:color="auto" w:fill="D9D9D9"/>
            <w:vAlign w:val="center"/>
          </w:tcPr>
          <w:p w14:paraId="6E1B94FD" w14:textId="77777777" w:rsidR="00E34569" w:rsidRPr="000D0D3C" w:rsidRDefault="00E34569" w:rsidP="00E34569">
            <w:pPr>
              <w:pStyle w:val="NoSpacing"/>
              <w:rPr>
                <w:b/>
              </w:rPr>
            </w:pPr>
            <w:r w:rsidRPr="000D0D3C">
              <w:rPr>
                <w:rFonts w:hint="eastAsia"/>
                <w:b/>
              </w:rPr>
              <w:t>Evaluation</w:t>
            </w:r>
          </w:p>
        </w:tc>
        <w:tc>
          <w:tcPr>
            <w:tcW w:w="2265" w:type="dxa"/>
            <w:gridSpan w:val="2"/>
            <w:shd w:val="clear" w:color="auto" w:fill="EDEDED"/>
            <w:vAlign w:val="center"/>
          </w:tcPr>
          <w:p w14:paraId="332FB2AF" w14:textId="77777777" w:rsidR="00E34569" w:rsidRPr="000D0D3C" w:rsidRDefault="00E34569" w:rsidP="00E34569">
            <w:pPr>
              <w:pStyle w:val="NoSpacing"/>
              <w:jc w:val="center"/>
              <w:rPr>
                <w:b/>
              </w:rPr>
            </w:pPr>
            <w:r w:rsidRPr="000D0D3C">
              <w:rPr>
                <w:b/>
              </w:rPr>
              <w:t>Attendance</w:t>
            </w:r>
          </w:p>
        </w:tc>
        <w:tc>
          <w:tcPr>
            <w:tcW w:w="1844" w:type="dxa"/>
          </w:tcPr>
          <w:p w14:paraId="47E6B851" w14:textId="1DB8ED0F" w:rsidR="00E34569" w:rsidRDefault="00E34569" w:rsidP="00E34569">
            <w:pPr>
              <w:pStyle w:val="NoSpacing"/>
              <w:jc w:val="right"/>
            </w:pPr>
            <w:r>
              <w:rPr>
                <w:rFonts w:hint="eastAsia"/>
                <w:color w:val="000000"/>
                <w:szCs w:val="20"/>
              </w:rPr>
              <w:t>10</w:t>
            </w:r>
            <w:r>
              <w:rPr>
                <w:color w:val="000000"/>
                <w:szCs w:val="20"/>
              </w:rPr>
              <w:t>%</w:t>
            </w:r>
          </w:p>
        </w:tc>
        <w:tc>
          <w:tcPr>
            <w:tcW w:w="2142" w:type="dxa"/>
            <w:gridSpan w:val="2"/>
            <w:shd w:val="clear" w:color="auto" w:fill="EDEDED"/>
            <w:vAlign w:val="center"/>
          </w:tcPr>
          <w:p w14:paraId="7939E5F8" w14:textId="77777777" w:rsidR="00E34569" w:rsidRPr="000D0D3C" w:rsidRDefault="00E34569" w:rsidP="00E34569">
            <w:pPr>
              <w:pStyle w:val="NoSpacing"/>
              <w:jc w:val="center"/>
              <w:rPr>
                <w:b/>
              </w:rPr>
            </w:pPr>
            <w:r w:rsidRPr="000D0D3C">
              <w:rPr>
                <w:rFonts w:hint="eastAsia"/>
                <w:b/>
              </w:rPr>
              <w:t>Quiz</w:t>
            </w:r>
          </w:p>
        </w:tc>
        <w:tc>
          <w:tcPr>
            <w:tcW w:w="2137" w:type="dxa"/>
            <w:gridSpan w:val="3"/>
          </w:tcPr>
          <w:p w14:paraId="3D386689" w14:textId="08780A46" w:rsidR="00E34569" w:rsidRDefault="00E34569" w:rsidP="00E34569">
            <w:pPr>
              <w:pStyle w:val="NoSpacing"/>
              <w:jc w:val="right"/>
            </w:pPr>
            <w:r>
              <w:rPr>
                <w:rFonts w:hint="eastAsia"/>
                <w:color w:val="000000"/>
                <w:szCs w:val="20"/>
              </w:rPr>
              <w:t>0</w:t>
            </w:r>
            <w:r>
              <w:rPr>
                <w:color w:val="000000"/>
                <w:szCs w:val="20"/>
              </w:rPr>
              <w:t>%</w:t>
            </w:r>
          </w:p>
        </w:tc>
      </w:tr>
      <w:tr w:rsidR="00E34569" w14:paraId="0C003143" w14:textId="77777777" w:rsidTr="00AA6484">
        <w:trPr>
          <w:trHeight w:val="101"/>
          <w:jc w:val="center"/>
        </w:trPr>
        <w:tc>
          <w:tcPr>
            <w:tcW w:w="1411" w:type="dxa"/>
            <w:vMerge/>
            <w:shd w:val="clear" w:color="auto" w:fill="D9D9D9"/>
          </w:tcPr>
          <w:p w14:paraId="39744304" w14:textId="77777777" w:rsidR="00E34569" w:rsidRPr="000D0D3C" w:rsidRDefault="00E34569" w:rsidP="00E34569">
            <w:pPr>
              <w:pStyle w:val="NoSpacing"/>
              <w:rPr>
                <w:b/>
              </w:rPr>
            </w:pPr>
          </w:p>
        </w:tc>
        <w:tc>
          <w:tcPr>
            <w:tcW w:w="2265" w:type="dxa"/>
            <w:gridSpan w:val="2"/>
            <w:shd w:val="clear" w:color="auto" w:fill="EDEDED"/>
            <w:vAlign w:val="center"/>
          </w:tcPr>
          <w:p w14:paraId="3C3BCC64" w14:textId="77777777" w:rsidR="00E34569" w:rsidRPr="000D0D3C" w:rsidRDefault="00E34569" w:rsidP="00E34569">
            <w:pPr>
              <w:pStyle w:val="NoSpacing"/>
              <w:jc w:val="center"/>
              <w:rPr>
                <w:b/>
              </w:rPr>
            </w:pPr>
            <w:r w:rsidRPr="000D0D3C">
              <w:rPr>
                <w:rFonts w:hint="eastAsia"/>
                <w:b/>
              </w:rPr>
              <w:t>Assignment</w:t>
            </w:r>
          </w:p>
        </w:tc>
        <w:tc>
          <w:tcPr>
            <w:tcW w:w="1844" w:type="dxa"/>
          </w:tcPr>
          <w:p w14:paraId="5D1CED4C" w14:textId="57D2137A" w:rsidR="00E34569" w:rsidRDefault="00E34569" w:rsidP="00E34569">
            <w:pPr>
              <w:pStyle w:val="NoSpacing"/>
              <w:jc w:val="right"/>
            </w:pPr>
            <w:r>
              <w:rPr>
                <w:rFonts w:hint="eastAsia"/>
                <w:color w:val="000000"/>
                <w:szCs w:val="20"/>
              </w:rPr>
              <w:t>20</w:t>
            </w:r>
            <w:r>
              <w:rPr>
                <w:color w:val="000000"/>
                <w:szCs w:val="20"/>
              </w:rPr>
              <w:t>%</w:t>
            </w:r>
          </w:p>
        </w:tc>
        <w:tc>
          <w:tcPr>
            <w:tcW w:w="2142" w:type="dxa"/>
            <w:gridSpan w:val="2"/>
            <w:shd w:val="clear" w:color="auto" w:fill="EDEDED"/>
            <w:vAlign w:val="center"/>
          </w:tcPr>
          <w:p w14:paraId="39C855B3" w14:textId="77777777" w:rsidR="00E34569" w:rsidRPr="000D0D3C" w:rsidRDefault="00E34569" w:rsidP="00E34569">
            <w:pPr>
              <w:pStyle w:val="NoSpacing"/>
              <w:jc w:val="center"/>
              <w:rPr>
                <w:b/>
              </w:rPr>
            </w:pPr>
            <w:r w:rsidRPr="000D0D3C">
              <w:rPr>
                <w:rFonts w:hint="eastAsia"/>
                <w:b/>
              </w:rPr>
              <w:t>Mid-term</w:t>
            </w:r>
            <w:r w:rsidRPr="000D0D3C">
              <w:rPr>
                <w:b/>
              </w:rPr>
              <w:t xml:space="preserve"> Exam</w:t>
            </w:r>
          </w:p>
        </w:tc>
        <w:tc>
          <w:tcPr>
            <w:tcW w:w="2137" w:type="dxa"/>
            <w:gridSpan w:val="3"/>
          </w:tcPr>
          <w:p w14:paraId="558C8CBE" w14:textId="1F805E67" w:rsidR="00E34569" w:rsidRDefault="00E34569" w:rsidP="00E34569">
            <w:pPr>
              <w:pStyle w:val="NoSpacing"/>
              <w:jc w:val="right"/>
            </w:pPr>
            <w:r>
              <w:rPr>
                <w:rFonts w:hint="eastAsia"/>
                <w:color w:val="000000"/>
                <w:szCs w:val="20"/>
              </w:rPr>
              <w:t>0</w:t>
            </w:r>
            <w:r>
              <w:rPr>
                <w:color w:val="000000"/>
                <w:szCs w:val="20"/>
              </w:rPr>
              <w:t>%</w:t>
            </w:r>
          </w:p>
        </w:tc>
      </w:tr>
      <w:tr w:rsidR="00E34569" w14:paraId="46E6EADD" w14:textId="77777777" w:rsidTr="00AA6484">
        <w:trPr>
          <w:trHeight w:val="101"/>
          <w:jc w:val="center"/>
        </w:trPr>
        <w:tc>
          <w:tcPr>
            <w:tcW w:w="1411" w:type="dxa"/>
            <w:vMerge/>
            <w:shd w:val="clear" w:color="auto" w:fill="D9D9D9"/>
          </w:tcPr>
          <w:p w14:paraId="7E6EA1D1" w14:textId="77777777" w:rsidR="00E34569" w:rsidRPr="000D0D3C" w:rsidRDefault="00E34569" w:rsidP="00E34569">
            <w:pPr>
              <w:pStyle w:val="NoSpacing"/>
              <w:rPr>
                <w:b/>
              </w:rPr>
            </w:pPr>
          </w:p>
        </w:tc>
        <w:tc>
          <w:tcPr>
            <w:tcW w:w="2265" w:type="dxa"/>
            <w:gridSpan w:val="2"/>
            <w:shd w:val="clear" w:color="auto" w:fill="EDEDED"/>
            <w:vAlign w:val="center"/>
          </w:tcPr>
          <w:p w14:paraId="7542BDE4" w14:textId="77777777" w:rsidR="00E34569" w:rsidRPr="000D0D3C" w:rsidRDefault="00E34569" w:rsidP="00E34569">
            <w:pPr>
              <w:pStyle w:val="NoSpacing"/>
              <w:jc w:val="center"/>
              <w:rPr>
                <w:b/>
              </w:rPr>
            </w:pPr>
            <w:r w:rsidRPr="000D0D3C">
              <w:rPr>
                <w:rFonts w:hint="eastAsia"/>
                <w:b/>
              </w:rPr>
              <w:t>Presentation</w:t>
            </w:r>
          </w:p>
        </w:tc>
        <w:tc>
          <w:tcPr>
            <w:tcW w:w="1844" w:type="dxa"/>
          </w:tcPr>
          <w:p w14:paraId="1C7BD47C" w14:textId="4CE7C142" w:rsidR="00E34569" w:rsidRDefault="00E34569" w:rsidP="00E34569">
            <w:pPr>
              <w:pStyle w:val="NoSpacing"/>
              <w:jc w:val="right"/>
            </w:pPr>
            <w:r>
              <w:rPr>
                <w:rFonts w:hint="eastAsia"/>
                <w:color w:val="000000"/>
                <w:szCs w:val="20"/>
              </w:rPr>
              <w:t>20</w:t>
            </w:r>
            <w:r>
              <w:rPr>
                <w:color w:val="000000"/>
                <w:szCs w:val="20"/>
              </w:rPr>
              <w:t>%</w:t>
            </w:r>
          </w:p>
        </w:tc>
        <w:tc>
          <w:tcPr>
            <w:tcW w:w="2142" w:type="dxa"/>
            <w:gridSpan w:val="2"/>
            <w:shd w:val="clear" w:color="auto" w:fill="EDEDED"/>
            <w:vAlign w:val="center"/>
          </w:tcPr>
          <w:p w14:paraId="559347E0" w14:textId="77777777" w:rsidR="00E34569" w:rsidRPr="000D0D3C" w:rsidRDefault="00E34569" w:rsidP="00E34569">
            <w:pPr>
              <w:pStyle w:val="NoSpacing"/>
              <w:jc w:val="center"/>
              <w:rPr>
                <w:b/>
              </w:rPr>
            </w:pPr>
            <w:r w:rsidRPr="000D0D3C">
              <w:rPr>
                <w:rFonts w:hint="eastAsia"/>
                <w:b/>
              </w:rPr>
              <w:t>Final Exam</w:t>
            </w:r>
          </w:p>
        </w:tc>
        <w:tc>
          <w:tcPr>
            <w:tcW w:w="2137" w:type="dxa"/>
            <w:gridSpan w:val="3"/>
          </w:tcPr>
          <w:p w14:paraId="0E394A60" w14:textId="48A86AF3" w:rsidR="00E34569" w:rsidRDefault="00E34569" w:rsidP="00E34569">
            <w:pPr>
              <w:pStyle w:val="NoSpacing"/>
              <w:jc w:val="right"/>
            </w:pPr>
            <w:r>
              <w:rPr>
                <w:rFonts w:hint="eastAsia"/>
                <w:color w:val="000000"/>
                <w:szCs w:val="20"/>
              </w:rPr>
              <w:t>0</w:t>
            </w:r>
            <w:r>
              <w:rPr>
                <w:color w:val="000000"/>
                <w:szCs w:val="20"/>
              </w:rPr>
              <w:t>%</w:t>
            </w:r>
          </w:p>
        </w:tc>
      </w:tr>
      <w:tr w:rsidR="00E34569" w14:paraId="76554D61" w14:textId="77777777" w:rsidTr="00AA6484">
        <w:trPr>
          <w:trHeight w:val="101"/>
          <w:jc w:val="center"/>
        </w:trPr>
        <w:tc>
          <w:tcPr>
            <w:tcW w:w="1411" w:type="dxa"/>
            <w:vMerge/>
            <w:shd w:val="clear" w:color="auto" w:fill="D9D9D9"/>
          </w:tcPr>
          <w:p w14:paraId="23CCFDA6" w14:textId="77777777" w:rsidR="00E34569" w:rsidRPr="000D0D3C" w:rsidRDefault="00E34569" w:rsidP="00E34569">
            <w:pPr>
              <w:pStyle w:val="NoSpacing"/>
              <w:rPr>
                <w:b/>
              </w:rPr>
            </w:pPr>
          </w:p>
        </w:tc>
        <w:tc>
          <w:tcPr>
            <w:tcW w:w="2265" w:type="dxa"/>
            <w:gridSpan w:val="2"/>
            <w:shd w:val="clear" w:color="auto" w:fill="EDEDED"/>
            <w:vAlign w:val="center"/>
          </w:tcPr>
          <w:p w14:paraId="0A2B8939" w14:textId="77777777" w:rsidR="00E34569" w:rsidRPr="000D0D3C" w:rsidRDefault="00E34569" w:rsidP="00E34569">
            <w:pPr>
              <w:pStyle w:val="NoSpacing"/>
              <w:jc w:val="center"/>
              <w:rPr>
                <w:b/>
              </w:rPr>
            </w:pPr>
            <w:r w:rsidRPr="000D0D3C">
              <w:rPr>
                <w:rFonts w:hint="eastAsia"/>
                <w:b/>
              </w:rPr>
              <w:t>Group Project</w:t>
            </w:r>
          </w:p>
        </w:tc>
        <w:tc>
          <w:tcPr>
            <w:tcW w:w="1844" w:type="dxa"/>
          </w:tcPr>
          <w:p w14:paraId="433C00DC" w14:textId="4B4CA87B" w:rsidR="00E34569" w:rsidRDefault="00E34569" w:rsidP="00E34569">
            <w:pPr>
              <w:pStyle w:val="NoSpacing"/>
              <w:jc w:val="right"/>
            </w:pPr>
            <w:r>
              <w:rPr>
                <w:rFonts w:hint="eastAsia"/>
                <w:color w:val="000000"/>
                <w:szCs w:val="20"/>
              </w:rPr>
              <w:t>0</w:t>
            </w:r>
            <w:r>
              <w:rPr>
                <w:color w:val="000000"/>
                <w:szCs w:val="20"/>
              </w:rPr>
              <w:t>%</w:t>
            </w:r>
          </w:p>
        </w:tc>
        <w:tc>
          <w:tcPr>
            <w:tcW w:w="2142" w:type="dxa"/>
            <w:gridSpan w:val="2"/>
            <w:shd w:val="clear" w:color="auto" w:fill="EDEDED"/>
            <w:vAlign w:val="center"/>
          </w:tcPr>
          <w:p w14:paraId="6FF9D7C1" w14:textId="77777777" w:rsidR="00E34569" w:rsidRPr="000D0D3C" w:rsidRDefault="00E34569" w:rsidP="00E34569">
            <w:pPr>
              <w:pStyle w:val="NoSpacing"/>
              <w:jc w:val="center"/>
              <w:rPr>
                <w:b/>
              </w:rPr>
            </w:pPr>
            <w:r w:rsidRPr="000D0D3C">
              <w:rPr>
                <w:rFonts w:hint="eastAsia"/>
                <w:b/>
              </w:rPr>
              <w:t>Participation</w:t>
            </w:r>
          </w:p>
        </w:tc>
        <w:tc>
          <w:tcPr>
            <w:tcW w:w="2137" w:type="dxa"/>
            <w:gridSpan w:val="3"/>
          </w:tcPr>
          <w:p w14:paraId="5ED6ED2A" w14:textId="46E223AC" w:rsidR="00E34569" w:rsidRDefault="00E34569" w:rsidP="00E34569">
            <w:pPr>
              <w:pStyle w:val="NoSpacing"/>
              <w:jc w:val="right"/>
            </w:pPr>
            <w:r>
              <w:rPr>
                <w:rFonts w:hint="eastAsia"/>
                <w:color w:val="000000"/>
                <w:szCs w:val="20"/>
              </w:rPr>
              <w:t>10</w:t>
            </w:r>
            <w:r>
              <w:rPr>
                <w:color w:val="000000"/>
                <w:szCs w:val="20"/>
              </w:rPr>
              <w:t>%</w:t>
            </w:r>
          </w:p>
        </w:tc>
      </w:tr>
      <w:tr w:rsidR="00175E6D" w14:paraId="49F4BF78" w14:textId="77777777" w:rsidTr="00AA6484">
        <w:trPr>
          <w:trHeight w:val="101"/>
          <w:jc w:val="center"/>
        </w:trPr>
        <w:tc>
          <w:tcPr>
            <w:tcW w:w="1411" w:type="dxa"/>
            <w:vMerge/>
            <w:shd w:val="clear" w:color="auto" w:fill="D9D9D9"/>
          </w:tcPr>
          <w:p w14:paraId="41867C5F" w14:textId="77777777" w:rsidR="005D2FED" w:rsidRPr="000D0D3C" w:rsidRDefault="005D2FED" w:rsidP="00175E6D">
            <w:pPr>
              <w:pStyle w:val="NoSpacing"/>
              <w:rPr>
                <w:b/>
              </w:rPr>
            </w:pPr>
          </w:p>
        </w:tc>
        <w:tc>
          <w:tcPr>
            <w:tcW w:w="2265" w:type="dxa"/>
            <w:gridSpan w:val="2"/>
            <w:vMerge w:val="restart"/>
            <w:shd w:val="clear" w:color="auto" w:fill="EDEDED"/>
            <w:vAlign w:val="center"/>
          </w:tcPr>
          <w:p w14:paraId="5F5E2559" w14:textId="77777777" w:rsidR="005D2FED" w:rsidRPr="000D0D3C" w:rsidRDefault="005D2FED" w:rsidP="000D0D3C">
            <w:pPr>
              <w:pStyle w:val="NoSpacing"/>
              <w:jc w:val="center"/>
              <w:rPr>
                <w:b/>
              </w:rPr>
            </w:pPr>
            <w:r w:rsidRPr="000D0D3C">
              <w:rPr>
                <w:rFonts w:hint="eastAsia"/>
                <w:b/>
              </w:rPr>
              <w:t>Etc.</w:t>
            </w:r>
          </w:p>
        </w:tc>
        <w:tc>
          <w:tcPr>
            <w:tcW w:w="3986" w:type="dxa"/>
            <w:gridSpan w:val="3"/>
            <w:shd w:val="clear" w:color="auto" w:fill="EDEDED"/>
            <w:vAlign w:val="center"/>
          </w:tcPr>
          <w:p w14:paraId="39CBA332" w14:textId="77777777" w:rsidR="005D2FED" w:rsidRPr="000D0D3C" w:rsidRDefault="005D2FED" w:rsidP="000D0D3C">
            <w:pPr>
              <w:pStyle w:val="NoSpacing"/>
              <w:jc w:val="center"/>
              <w:rPr>
                <w:b/>
              </w:rPr>
            </w:pPr>
            <w:r w:rsidRPr="000D0D3C">
              <w:rPr>
                <w:rFonts w:hint="eastAsia"/>
                <w:b/>
              </w:rPr>
              <w:t>Evaluation Item</w:t>
            </w:r>
          </w:p>
        </w:tc>
        <w:tc>
          <w:tcPr>
            <w:tcW w:w="2137" w:type="dxa"/>
            <w:gridSpan w:val="3"/>
            <w:shd w:val="clear" w:color="auto" w:fill="EDEDED"/>
            <w:vAlign w:val="center"/>
          </w:tcPr>
          <w:p w14:paraId="5440832A" w14:textId="77777777" w:rsidR="005D2FED" w:rsidRPr="000D0D3C" w:rsidRDefault="005D2FED" w:rsidP="000D0D3C">
            <w:pPr>
              <w:pStyle w:val="NoSpacing"/>
              <w:jc w:val="center"/>
              <w:rPr>
                <w:b/>
              </w:rPr>
            </w:pPr>
            <w:r w:rsidRPr="000D0D3C">
              <w:rPr>
                <w:rFonts w:hint="eastAsia"/>
                <w:b/>
              </w:rPr>
              <w:t>Ratio</w:t>
            </w:r>
          </w:p>
        </w:tc>
      </w:tr>
      <w:tr w:rsidR="00E34569" w14:paraId="7B0836F0" w14:textId="77777777" w:rsidTr="00AA6484">
        <w:trPr>
          <w:trHeight w:val="101"/>
          <w:jc w:val="center"/>
        </w:trPr>
        <w:tc>
          <w:tcPr>
            <w:tcW w:w="1411" w:type="dxa"/>
            <w:vMerge/>
            <w:shd w:val="clear" w:color="auto" w:fill="D9D9D9"/>
          </w:tcPr>
          <w:p w14:paraId="4D6236EF" w14:textId="77777777" w:rsidR="00E34569" w:rsidRPr="000D0D3C" w:rsidRDefault="00E34569" w:rsidP="00E34569">
            <w:pPr>
              <w:pStyle w:val="NoSpacing"/>
              <w:rPr>
                <w:b/>
              </w:rPr>
            </w:pPr>
          </w:p>
        </w:tc>
        <w:tc>
          <w:tcPr>
            <w:tcW w:w="2265" w:type="dxa"/>
            <w:gridSpan w:val="2"/>
            <w:vMerge/>
            <w:shd w:val="clear" w:color="auto" w:fill="EDEDED"/>
          </w:tcPr>
          <w:p w14:paraId="4BE24E95" w14:textId="77777777" w:rsidR="00E34569" w:rsidRPr="000D0D3C" w:rsidRDefault="00E34569" w:rsidP="00E34569">
            <w:pPr>
              <w:pStyle w:val="NoSpacing"/>
              <w:rPr>
                <w:b/>
              </w:rPr>
            </w:pPr>
          </w:p>
        </w:tc>
        <w:tc>
          <w:tcPr>
            <w:tcW w:w="3986" w:type="dxa"/>
            <w:gridSpan w:val="3"/>
          </w:tcPr>
          <w:p w14:paraId="43ED8937" w14:textId="6877ECB9" w:rsidR="00E34569" w:rsidRDefault="00E34569" w:rsidP="00E34569">
            <w:pPr>
              <w:pStyle w:val="NoSpacing"/>
            </w:pPr>
            <w:r>
              <w:rPr>
                <w:rFonts w:hint="eastAsia"/>
                <w:color w:val="000000"/>
                <w:szCs w:val="20"/>
              </w:rPr>
              <w:t>ESG Case Write-Up</w:t>
            </w:r>
          </w:p>
        </w:tc>
        <w:tc>
          <w:tcPr>
            <w:tcW w:w="2137" w:type="dxa"/>
            <w:gridSpan w:val="3"/>
          </w:tcPr>
          <w:p w14:paraId="0AB5C9B7" w14:textId="26FE979D" w:rsidR="00E34569" w:rsidRDefault="00E34569" w:rsidP="00E34569">
            <w:pPr>
              <w:pStyle w:val="NoSpacing"/>
              <w:jc w:val="right"/>
            </w:pPr>
            <w:r>
              <w:rPr>
                <w:rFonts w:hint="eastAsia"/>
                <w:color w:val="000000"/>
                <w:szCs w:val="20"/>
              </w:rPr>
              <w:t>40</w:t>
            </w:r>
            <w:r>
              <w:rPr>
                <w:color w:val="000000"/>
                <w:szCs w:val="20"/>
              </w:rPr>
              <w:t>%</w:t>
            </w:r>
          </w:p>
        </w:tc>
      </w:tr>
      <w:tr w:rsidR="005D2FED" w14:paraId="790771C5" w14:textId="77777777" w:rsidTr="00AA6484">
        <w:trPr>
          <w:trHeight w:val="101"/>
          <w:jc w:val="center"/>
        </w:trPr>
        <w:tc>
          <w:tcPr>
            <w:tcW w:w="1411" w:type="dxa"/>
            <w:vMerge/>
            <w:shd w:val="clear" w:color="auto" w:fill="D9D9D9"/>
          </w:tcPr>
          <w:p w14:paraId="05307DA4" w14:textId="77777777" w:rsidR="005D2FED" w:rsidRPr="000D0D3C" w:rsidRDefault="005D2FED" w:rsidP="00175E6D">
            <w:pPr>
              <w:pStyle w:val="NoSpacing"/>
              <w:rPr>
                <w:b/>
              </w:rPr>
            </w:pPr>
          </w:p>
        </w:tc>
        <w:tc>
          <w:tcPr>
            <w:tcW w:w="2265" w:type="dxa"/>
            <w:gridSpan w:val="2"/>
            <w:vMerge/>
            <w:shd w:val="clear" w:color="auto" w:fill="EDEDED"/>
          </w:tcPr>
          <w:p w14:paraId="3050B826" w14:textId="77777777" w:rsidR="005D2FED" w:rsidRPr="000D0D3C" w:rsidRDefault="005D2FED" w:rsidP="00175E6D">
            <w:pPr>
              <w:pStyle w:val="NoSpacing"/>
              <w:rPr>
                <w:b/>
              </w:rPr>
            </w:pPr>
          </w:p>
        </w:tc>
        <w:tc>
          <w:tcPr>
            <w:tcW w:w="3986" w:type="dxa"/>
            <w:gridSpan w:val="3"/>
          </w:tcPr>
          <w:p w14:paraId="23B54CCB" w14:textId="77777777" w:rsidR="005D2FED" w:rsidRDefault="005D2FED" w:rsidP="00175E6D">
            <w:pPr>
              <w:pStyle w:val="NoSpacing"/>
            </w:pPr>
          </w:p>
        </w:tc>
        <w:tc>
          <w:tcPr>
            <w:tcW w:w="2137" w:type="dxa"/>
            <w:gridSpan w:val="3"/>
          </w:tcPr>
          <w:p w14:paraId="7D4FCA0E" w14:textId="77777777" w:rsidR="005D2FED" w:rsidRDefault="005D2FED" w:rsidP="000D0D3C">
            <w:pPr>
              <w:pStyle w:val="NoSpacing"/>
              <w:jc w:val="right"/>
            </w:pPr>
            <w:r>
              <w:rPr>
                <w:rFonts w:hint="eastAsia"/>
              </w:rPr>
              <w:t>%</w:t>
            </w:r>
          </w:p>
        </w:tc>
      </w:tr>
      <w:tr w:rsidR="00E34569" w14:paraId="0F7F040B" w14:textId="77777777" w:rsidTr="00AA6484">
        <w:trPr>
          <w:trHeight w:val="276"/>
          <w:jc w:val="center"/>
        </w:trPr>
        <w:tc>
          <w:tcPr>
            <w:tcW w:w="1411" w:type="dxa"/>
            <w:vMerge w:val="restart"/>
            <w:shd w:val="clear" w:color="auto" w:fill="D9D9D9"/>
            <w:vAlign w:val="center"/>
          </w:tcPr>
          <w:p w14:paraId="2DA487FB" w14:textId="77777777" w:rsidR="00E34569" w:rsidRPr="000D0D3C" w:rsidRDefault="00E34569" w:rsidP="00E34569">
            <w:pPr>
              <w:pStyle w:val="NoSpacing"/>
              <w:rPr>
                <w:b/>
              </w:rPr>
            </w:pPr>
            <w:r w:rsidRPr="000D0D3C">
              <w:rPr>
                <w:b/>
              </w:rPr>
              <w:lastRenderedPageBreak/>
              <w:t>Dai</w:t>
            </w:r>
            <w:r w:rsidRPr="000D0D3C">
              <w:rPr>
                <w:rFonts w:hint="eastAsia"/>
                <w:b/>
              </w:rPr>
              <w:t xml:space="preserve">ly </w:t>
            </w:r>
          </w:p>
          <w:p w14:paraId="1C0173F0" w14:textId="77777777" w:rsidR="00E34569" w:rsidRPr="000D0D3C" w:rsidRDefault="00E34569" w:rsidP="00E34569">
            <w:pPr>
              <w:pStyle w:val="NoSpacing"/>
              <w:rPr>
                <w:b/>
              </w:rPr>
            </w:pPr>
            <w:r w:rsidRPr="000D0D3C">
              <w:rPr>
                <w:rFonts w:hint="eastAsia"/>
                <w:b/>
              </w:rPr>
              <w:t>Lecture Plan</w:t>
            </w:r>
          </w:p>
        </w:tc>
        <w:tc>
          <w:tcPr>
            <w:tcW w:w="1360" w:type="dxa"/>
            <w:shd w:val="clear" w:color="auto" w:fill="EDEDED"/>
            <w:vAlign w:val="center"/>
          </w:tcPr>
          <w:p w14:paraId="14C64E25" w14:textId="525D5B61" w:rsidR="00E34569" w:rsidRPr="000D0D3C" w:rsidRDefault="00E34569" w:rsidP="00E34569">
            <w:pPr>
              <w:pStyle w:val="NoSpacing"/>
              <w:jc w:val="center"/>
              <w:rPr>
                <w:b/>
              </w:rPr>
            </w:pPr>
            <w:r>
              <w:rPr>
                <w:rFonts w:hint="eastAsia"/>
                <w:b/>
              </w:rPr>
              <w:t>D</w:t>
            </w:r>
            <w:r>
              <w:rPr>
                <w:b/>
              </w:rPr>
              <w:t>ay 1</w:t>
            </w:r>
          </w:p>
        </w:tc>
        <w:tc>
          <w:tcPr>
            <w:tcW w:w="7028" w:type="dxa"/>
            <w:gridSpan w:val="7"/>
          </w:tcPr>
          <w:p w14:paraId="4AF24BC3" w14:textId="77777777" w:rsidR="00E34569" w:rsidRDefault="00E34569" w:rsidP="00E34569">
            <w:pPr>
              <w:pBdr>
                <w:top w:val="nil"/>
                <w:left w:val="nil"/>
                <w:bottom w:val="nil"/>
                <w:right w:val="nil"/>
                <w:between w:val="nil"/>
              </w:pBdr>
              <w:spacing w:after="0" w:line="240" w:lineRule="auto"/>
              <w:ind w:right="-116"/>
              <w:rPr>
                <w:color w:val="000000"/>
                <w:szCs w:val="20"/>
              </w:rPr>
            </w:pPr>
            <w:r w:rsidRPr="00EF7985">
              <w:rPr>
                <w:color w:val="000000"/>
                <w:szCs w:val="20"/>
              </w:rPr>
              <w:t>Introduction to ESG in Supply Chain Management</w:t>
            </w:r>
          </w:p>
          <w:p w14:paraId="4C515ECA" w14:textId="77777777" w:rsidR="00E34569" w:rsidRPr="00A84E8D" w:rsidRDefault="00E34569" w:rsidP="00E34569">
            <w:pPr>
              <w:pStyle w:val="ListParagraph"/>
              <w:numPr>
                <w:ilvl w:val="0"/>
                <w:numId w:val="8"/>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Course overview and ESG fundamentals</w:t>
            </w:r>
          </w:p>
          <w:p w14:paraId="68AE5B40" w14:textId="77777777" w:rsidR="00E34569" w:rsidRPr="00A84E8D" w:rsidRDefault="00E34569" w:rsidP="00E34569">
            <w:pPr>
              <w:pStyle w:val="ListParagraph"/>
              <w:numPr>
                <w:ilvl w:val="0"/>
                <w:numId w:val="8"/>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Evolution of sustainability in supply chains</w:t>
            </w:r>
          </w:p>
          <w:p w14:paraId="555493AD" w14:textId="77777777" w:rsidR="00635D3F" w:rsidRDefault="00E34569" w:rsidP="00635D3F">
            <w:pPr>
              <w:pStyle w:val="ListParagraph"/>
              <w:numPr>
                <w:ilvl w:val="0"/>
                <w:numId w:val="8"/>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Key ESG frameworks and standards (UN SDGs, GRI, SASB)</w:t>
            </w:r>
          </w:p>
          <w:p w14:paraId="0E849619" w14:textId="07E41DB6" w:rsidR="00E34569" w:rsidRPr="00635D3F" w:rsidRDefault="00E34569" w:rsidP="00635D3F">
            <w:pPr>
              <w:pStyle w:val="ListParagraph"/>
              <w:numPr>
                <w:ilvl w:val="0"/>
                <w:numId w:val="8"/>
              </w:numPr>
              <w:pBdr>
                <w:top w:val="nil"/>
                <w:left w:val="nil"/>
                <w:bottom w:val="nil"/>
                <w:right w:val="nil"/>
                <w:between w:val="nil"/>
              </w:pBdr>
              <w:spacing w:after="0" w:line="240" w:lineRule="auto"/>
              <w:ind w:leftChars="0" w:left="373" w:right="-116" w:hanging="284"/>
              <w:rPr>
                <w:color w:val="000000"/>
                <w:szCs w:val="20"/>
              </w:rPr>
            </w:pPr>
            <w:r w:rsidRPr="00635D3F">
              <w:rPr>
                <w:color w:val="000000"/>
                <w:szCs w:val="20"/>
              </w:rPr>
              <w:t>Stakeholder theory and shared value creation</w:t>
            </w:r>
          </w:p>
        </w:tc>
      </w:tr>
      <w:tr w:rsidR="00E34569" w14:paraId="4C0EAA56" w14:textId="77777777" w:rsidTr="00431AD0">
        <w:trPr>
          <w:trHeight w:val="276"/>
          <w:jc w:val="center"/>
        </w:trPr>
        <w:tc>
          <w:tcPr>
            <w:tcW w:w="1411" w:type="dxa"/>
            <w:vMerge/>
            <w:shd w:val="clear" w:color="auto" w:fill="D9D9D9"/>
            <w:vAlign w:val="center"/>
          </w:tcPr>
          <w:p w14:paraId="4CD3853A" w14:textId="77777777" w:rsidR="00E34569" w:rsidRPr="000D0D3C" w:rsidRDefault="00E34569" w:rsidP="00E34569">
            <w:pPr>
              <w:pStyle w:val="NoSpacing"/>
              <w:rPr>
                <w:b/>
              </w:rPr>
            </w:pPr>
          </w:p>
        </w:tc>
        <w:tc>
          <w:tcPr>
            <w:tcW w:w="1360" w:type="dxa"/>
            <w:shd w:val="clear" w:color="auto" w:fill="EDEDED"/>
            <w:vAlign w:val="center"/>
          </w:tcPr>
          <w:p w14:paraId="69AAE3C6" w14:textId="4865CC12" w:rsidR="00E34569" w:rsidRPr="000D0D3C" w:rsidRDefault="00E34569" w:rsidP="00E34569">
            <w:pPr>
              <w:pStyle w:val="NoSpacing"/>
              <w:jc w:val="center"/>
              <w:rPr>
                <w:b/>
              </w:rPr>
            </w:pPr>
            <w:r>
              <w:rPr>
                <w:rFonts w:hint="eastAsia"/>
                <w:b/>
              </w:rPr>
              <w:t>D</w:t>
            </w:r>
            <w:r>
              <w:rPr>
                <w:b/>
              </w:rPr>
              <w:t>ay 2</w:t>
            </w:r>
          </w:p>
        </w:tc>
        <w:tc>
          <w:tcPr>
            <w:tcW w:w="7028" w:type="dxa"/>
            <w:gridSpan w:val="7"/>
          </w:tcPr>
          <w:p w14:paraId="0B483955" w14:textId="77777777" w:rsidR="00E34569" w:rsidRDefault="00E34569" w:rsidP="00E34569">
            <w:pPr>
              <w:pBdr>
                <w:top w:val="nil"/>
                <w:left w:val="nil"/>
                <w:bottom w:val="nil"/>
                <w:right w:val="nil"/>
                <w:between w:val="nil"/>
              </w:pBdr>
              <w:spacing w:after="0" w:line="240" w:lineRule="auto"/>
              <w:ind w:right="-116"/>
              <w:rPr>
                <w:color w:val="000000"/>
                <w:szCs w:val="20"/>
              </w:rPr>
            </w:pPr>
            <w:r w:rsidRPr="00EF7985">
              <w:rPr>
                <w:color w:val="000000"/>
                <w:szCs w:val="20"/>
              </w:rPr>
              <w:t>Environmental Dimensions of Supply Chain</w:t>
            </w:r>
          </w:p>
          <w:p w14:paraId="6CCC17B7" w14:textId="77777777" w:rsidR="00E34569" w:rsidRPr="00A84E8D" w:rsidRDefault="00E34569" w:rsidP="00E34569">
            <w:pPr>
              <w:pStyle w:val="ListParagraph"/>
              <w:numPr>
                <w:ilvl w:val="0"/>
                <w:numId w:val="9"/>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Circular economy and waste reduction strategies</w:t>
            </w:r>
          </w:p>
          <w:p w14:paraId="6CB6BD44" w14:textId="77777777" w:rsidR="00E34569" w:rsidRPr="00A84E8D" w:rsidRDefault="00E34569" w:rsidP="00E34569">
            <w:pPr>
              <w:pStyle w:val="ListParagraph"/>
              <w:numPr>
                <w:ilvl w:val="0"/>
                <w:numId w:val="9"/>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 xml:space="preserve">Demand forecasting for waste minimization </w:t>
            </w:r>
          </w:p>
          <w:p w14:paraId="6EF4D5BF" w14:textId="77777777" w:rsidR="00635D3F" w:rsidRDefault="00E34569" w:rsidP="00635D3F">
            <w:pPr>
              <w:pStyle w:val="ListParagraph"/>
              <w:numPr>
                <w:ilvl w:val="0"/>
                <w:numId w:val="9"/>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Energy efficiency and renewable resources</w:t>
            </w:r>
          </w:p>
          <w:p w14:paraId="5BF11DBC" w14:textId="6B3BC4AB" w:rsidR="00E34569" w:rsidRPr="00635D3F" w:rsidRDefault="00E34569" w:rsidP="00635D3F">
            <w:pPr>
              <w:pStyle w:val="ListParagraph"/>
              <w:numPr>
                <w:ilvl w:val="0"/>
                <w:numId w:val="9"/>
              </w:numPr>
              <w:pBdr>
                <w:top w:val="nil"/>
                <w:left w:val="nil"/>
                <w:bottom w:val="nil"/>
                <w:right w:val="nil"/>
                <w:between w:val="nil"/>
              </w:pBdr>
              <w:spacing w:after="0" w:line="240" w:lineRule="auto"/>
              <w:ind w:leftChars="0" w:left="373" w:right="-116" w:hanging="284"/>
              <w:rPr>
                <w:color w:val="000000"/>
                <w:szCs w:val="20"/>
              </w:rPr>
            </w:pPr>
            <w:r w:rsidRPr="00635D3F">
              <w:rPr>
                <w:color w:val="000000"/>
                <w:szCs w:val="20"/>
              </w:rPr>
              <w:t>Sustainable packaging and materials</w:t>
            </w:r>
          </w:p>
        </w:tc>
      </w:tr>
      <w:tr w:rsidR="00E34569" w14:paraId="37BFA238" w14:textId="77777777" w:rsidTr="00431AD0">
        <w:trPr>
          <w:trHeight w:val="276"/>
          <w:jc w:val="center"/>
        </w:trPr>
        <w:tc>
          <w:tcPr>
            <w:tcW w:w="1411" w:type="dxa"/>
            <w:vMerge/>
            <w:shd w:val="clear" w:color="auto" w:fill="D9D9D9"/>
            <w:vAlign w:val="center"/>
          </w:tcPr>
          <w:p w14:paraId="69A97470" w14:textId="77777777" w:rsidR="00E34569" w:rsidRPr="000D0D3C" w:rsidRDefault="00E34569" w:rsidP="00E34569">
            <w:pPr>
              <w:pStyle w:val="NoSpacing"/>
              <w:rPr>
                <w:b/>
              </w:rPr>
            </w:pPr>
          </w:p>
        </w:tc>
        <w:tc>
          <w:tcPr>
            <w:tcW w:w="1360" w:type="dxa"/>
            <w:shd w:val="clear" w:color="auto" w:fill="EDEDED"/>
            <w:vAlign w:val="center"/>
          </w:tcPr>
          <w:p w14:paraId="24E4ECAB" w14:textId="23AE6C7F" w:rsidR="00E34569" w:rsidRPr="000D0D3C" w:rsidRDefault="00E34569" w:rsidP="00E34569">
            <w:pPr>
              <w:pStyle w:val="NoSpacing"/>
              <w:jc w:val="center"/>
              <w:rPr>
                <w:b/>
              </w:rPr>
            </w:pPr>
            <w:r>
              <w:rPr>
                <w:rFonts w:hint="eastAsia"/>
                <w:b/>
              </w:rPr>
              <w:t>D</w:t>
            </w:r>
            <w:r>
              <w:rPr>
                <w:b/>
              </w:rPr>
              <w:t>ay 3</w:t>
            </w:r>
            <w:r>
              <w:rPr>
                <w:rFonts w:hint="eastAsia"/>
                <w:b/>
              </w:rPr>
              <w:t xml:space="preserve"> </w:t>
            </w:r>
          </w:p>
        </w:tc>
        <w:tc>
          <w:tcPr>
            <w:tcW w:w="7028" w:type="dxa"/>
            <w:gridSpan w:val="7"/>
          </w:tcPr>
          <w:p w14:paraId="40902DB4" w14:textId="77777777" w:rsidR="00E34569" w:rsidRDefault="00E34569" w:rsidP="00E34569">
            <w:pPr>
              <w:pBdr>
                <w:top w:val="nil"/>
                <w:left w:val="nil"/>
                <w:bottom w:val="nil"/>
                <w:right w:val="nil"/>
                <w:between w:val="nil"/>
              </w:pBdr>
              <w:spacing w:after="0" w:line="240" w:lineRule="auto"/>
              <w:ind w:right="-116"/>
              <w:rPr>
                <w:color w:val="000000"/>
                <w:szCs w:val="20"/>
              </w:rPr>
            </w:pPr>
            <w:r w:rsidRPr="00EF7985">
              <w:rPr>
                <w:color w:val="000000"/>
                <w:szCs w:val="20"/>
              </w:rPr>
              <w:t>Social Responsibility in Global Supply Chains</w:t>
            </w:r>
          </w:p>
          <w:p w14:paraId="7636372B" w14:textId="77777777" w:rsidR="00E34569" w:rsidRPr="00A84E8D" w:rsidRDefault="00E34569" w:rsidP="00E34569">
            <w:pPr>
              <w:pStyle w:val="ListParagraph"/>
              <w:numPr>
                <w:ilvl w:val="0"/>
                <w:numId w:val="9"/>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Labor rights and fair wage practices</w:t>
            </w:r>
          </w:p>
          <w:p w14:paraId="18EF523A" w14:textId="77777777" w:rsidR="00E34569" w:rsidRPr="00A84E8D" w:rsidRDefault="00E34569" w:rsidP="00E34569">
            <w:pPr>
              <w:pStyle w:val="ListParagraph"/>
              <w:numPr>
                <w:ilvl w:val="0"/>
                <w:numId w:val="9"/>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Human rights due diligence</w:t>
            </w:r>
          </w:p>
          <w:p w14:paraId="779E3633" w14:textId="77777777" w:rsidR="00635D3F" w:rsidRDefault="00E34569" w:rsidP="00635D3F">
            <w:pPr>
              <w:pStyle w:val="ListParagraph"/>
              <w:numPr>
                <w:ilvl w:val="0"/>
                <w:numId w:val="9"/>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Supplier diversity and inclusion</w:t>
            </w:r>
          </w:p>
          <w:p w14:paraId="7D5818E2" w14:textId="6D051908" w:rsidR="00E34569" w:rsidRPr="00635D3F" w:rsidRDefault="00E34569" w:rsidP="00635D3F">
            <w:pPr>
              <w:pStyle w:val="ListParagraph"/>
              <w:numPr>
                <w:ilvl w:val="0"/>
                <w:numId w:val="9"/>
              </w:numPr>
              <w:pBdr>
                <w:top w:val="nil"/>
                <w:left w:val="nil"/>
                <w:bottom w:val="nil"/>
                <w:right w:val="nil"/>
                <w:between w:val="nil"/>
              </w:pBdr>
              <w:spacing w:after="0" w:line="240" w:lineRule="auto"/>
              <w:ind w:leftChars="0" w:left="373" w:right="-116" w:hanging="284"/>
              <w:rPr>
                <w:color w:val="000000"/>
                <w:szCs w:val="20"/>
              </w:rPr>
            </w:pPr>
            <w:r w:rsidRPr="00635D3F">
              <w:rPr>
                <w:color w:val="000000"/>
                <w:szCs w:val="20"/>
              </w:rPr>
              <w:t>Community impact and development</w:t>
            </w:r>
          </w:p>
        </w:tc>
      </w:tr>
      <w:tr w:rsidR="00E34569" w14:paraId="1E75CA75" w14:textId="77777777" w:rsidTr="00431AD0">
        <w:trPr>
          <w:trHeight w:val="276"/>
          <w:jc w:val="center"/>
        </w:trPr>
        <w:tc>
          <w:tcPr>
            <w:tcW w:w="1411" w:type="dxa"/>
            <w:vMerge/>
            <w:shd w:val="clear" w:color="auto" w:fill="D9D9D9"/>
            <w:vAlign w:val="center"/>
          </w:tcPr>
          <w:p w14:paraId="4DBF0B98" w14:textId="77777777" w:rsidR="00E34569" w:rsidRPr="000D0D3C" w:rsidRDefault="00E34569" w:rsidP="00E34569">
            <w:pPr>
              <w:pStyle w:val="NoSpacing"/>
              <w:rPr>
                <w:b/>
              </w:rPr>
            </w:pPr>
          </w:p>
        </w:tc>
        <w:tc>
          <w:tcPr>
            <w:tcW w:w="1360" w:type="dxa"/>
            <w:shd w:val="clear" w:color="auto" w:fill="EDEDED"/>
            <w:vAlign w:val="center"/>
          </w:tcPr>
          <w:p w14:paraId="352CAA79" w14:textId="0A3E66A6" w:rsidR="00E34569" w:rsidRPr="000D0D3C" w:rsidRDefault="00E34569" w:rsidP="00E34569">
            <w:pPr>
              <w:pStyle w:val="NoSpacing"/>
              <w:jc w:val="center"/>
              <w:rPr>
                <w:b/>
              </w:rPr>
            </w:pPr>
            <w:r>
              <w:rPr>
                <w:rFonts w:hint="eastAsia"/>
                <w:b/>
              </w:rPr>
              <w:t>D</w:t>
            </w:r>
            <w:r>
              <w:rPr>
                <w:b/>
              </w:rPr>
              <w:t>ay 4</w:t>
            </w:r>
          </w:p>
        </w:tc>
        <w:tc>
          <w:tcPr>
            <w:tcW w:w="7028" w:type="dxa"/>
            <w:gridSpan w:val="7"/>
          </w:tcPr>
          <w:p w14:paraId="62F4FBBD" w14:textId="77777777" w:rsidR="00E34569" w:rsidRDefault="00E34569" w:rsidP="00E34569">
            <w:pPr>
              <w:pBdr>
                <w:top w:val="nil"/>
                <w:left w:val="nil"/>
                <w:bottom w:val="nil"/>
                <w:right w:val="nil"/>
                <w:between w:val="nil"/>
              </w:pBdr>
              <w:spacing w:after="0" w:line="240" w:lineRule="auto"/>
              <w:ind w:right="-116"/>
              <w:rPr>
                <w:color w:val="000000"/>
                <w:szCs w:val="20"/>
              </w:rPr>
            </w:pPr>
            <w:r w:rsidRPr="00EF7985">
              <w:rPr>
                <w:color w:val="000000"/>
                <w:szCs w:val="20"/>
              </w:rPr>
              <w:t>Governance and Compliance</w:t>
            </w:r>
          </w:p>
          <w:p w14:paraId="6B6A63F7" w14:textId="77777777" w:rsidR="00E34569" w:rsidRPr="00A84E8D" w:rsidRDefault="00E34569" w:rsidP="00E34569">
            <w:pPr>
              <w:pStyle w:val="ListParagraph"/>
              <w:numPr>
                <w:ilvl w:val="0"/>
                <w:numId w:val="10"/>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Supply chain transparency and traceability</w:t>
            </w:r>
          </w:p>
          <w:p w14:paraId="6B89E08E" w14:textId="77777777" w:rsidR="00E34569" w:rsidRPr="00A84E8D" w:rsidRDefault="00E34569" w:rsidP="00E34569">
            <w:pPr>
              <w:pStyle w:val="ListParagraph"/>
              <w:numPr>
                <w:ilvl w:val="0"/>
                <w:numId w:val="10"/>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Anti-corruption measures and ethical practices</w:t>
            </w:r>
          </w:p>
          <w:p w14:paraId="4F280FF0" w14:textId="77777777" w:rsidR="00635D3F" w:rsidRDefault="00E34569" w:rsidP="00635D3F">
            <w:pPr>
              <w:pStyle w:val="ListParagraph"/>
              <w:numPr>
                <w:ilvl w:val="0"/>
                <w:numId w:val="10"/>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Regulatory compliance frameworks</w:t>
            </w:r>
          </w:p>
          <w:p w14:paraId="0D94BF26" w14:textId="663D0CFC" w:rsidR="00E34569" w:rsidRPr="00635D3F" w:rsidRDefault="00E34569" w:rsidP="00635D3F">
            <w:pPr>
              <w:pStyle w:val="ListParagraph"/>
              <w:numPr>
                <w:ilvl w:val="0"/>
                <w:numId w:val="10"/>
              </w:numPr>
              <w:pBdr>
                <w:top w:val="nil"/>
                <w:left w:val="nil"/>
                <w:bottom w:val="nil"/>
                <w:right w:val="nil"/>
                <w:between w:val="nil"/>
              </w:pBdr>
              <w:spacing w:after="0" w:line="240" w:lineRule="auto"/>
              <w:ind w:leftChars="0" w:left="373" w:right="-116" w:hanging="284"/>
              <w:rPr>
                <w:color w:val="000000"/>
                <w:szCs w:val="20"/>
              </w:rPr>
            </w:pPr>
            <w:r w:rsidRPr="00635D3F">
              <w:rPr>
                <w:color w:val="000000"/>
                <w:szCs w:val="20"/>
              </w:rPr>
              <w:t>Third-party audits and certifications</w:t>
            </w:r>
          </w:p>
        </w:tc>
      </w:tr>
      <w:tr w:rsidR="00E34569" w14:paraId="0F4A2F2F" w14:textId="77777777" w:rsidTr="00431AD0">
        <w:trPr>
          <w:trHeight w:val="276"/>
          <w:jc w:val="center"/>
        </w:trPr>
        <w:tc>
          <w:tcPr>
            <w:tcW w:w="1411" w:type="dxa"/>
            <w:vMerge/>
            <w:shd w:val="clear" w:color="auto" w:fill="D9D9D9"/>
            <w:vAlign w:val="center"/>
          </w:tcPr>
          <w:p w14:paraId="27E4A014" w14:textId="77777777" w:rsidR="00E34569" w:rsidRPr="000D0D3C" w:rsidRDefault="00E34569" w:rsidP="00E34569">
            <w:pPr>
              <w:pStyle w:val="NoSpacing"/>
              <w:rPr>
                <w:b/>
              </w:rPr>
            </w:pPr>
          </w:p>
        </w:tc>
        <w:tc>
          <w:tcPr>
            <w:tcW w:w="1360" w:type="dxa"/>
            <w:shd w:val="clear" w:color="auto" w:fill="EDEDED"/>
            <w:vAlign w:val="center"/>
          </w:tcPr>
          <w:p w14:paraId="08DDF43D" w14:textId="0CA7331C" w:rsidR="00E34569" w:rsidRPr="000D0D3C" w:rsidRDefault="00E34569" w:rsidP="00E34569">
            <w:pPr>
              <w:pStyle w:val="NoSpacing"/>
              <w:jc w:val="center"/>
              <w:rPr>
                <w:b/>
              </w:rPr>
            </w:pPr>
            <w:r>
              <w:rPr>
                <w:rFonts w:hint="eastAsia"/>
                <w:b/>
              </w:rPr>
              <w:t>D</w:t>
            </w:r>
            <w:r>
              <w:rPr>
                <w:b/>
              </w:rPr>
              <w:t>ay 5</w:t>
            </w:r>
          </w:p>
        </w:tc>
        <w:tc>
          <w:tcPr>
            <w:tcW w:w="7028" w:type="dxa"/>
            <w:gridSpan w:val="7"/>
          </w:tcPr>
          <w:p w14:paraId="2841DCA8" w14:textId="77777777" w:rsidR="00E34569" w:rsidRDefault="00E34569" w:rsidP="00E34569">
            <w:pPr>
              <w:pBdr>
                <w:top w:val="nil"/>
                <w:left w:val="nil"/>
                <w:bottom w:val="nil"/>
                <w:right w:val="nil"/>
                <w:between w:val="nil"/>
              </w:pBdr>
              <w:spacing w:after="0" w:line="240" w:lineRule="auto"/>
              <w:ind w:right="-116"/>
              <w:rPr>
                <w:color w:val="000000"/>
                <w:szCs w:val="20"/>
              </w:rPr>
            </w:pPr>
            <w:r w:rsidRPr="00EF7985">
              <w:rPr>
                <w:color w:val="000000"/>
                <w:szCs w:val="20"/>
              </w:rPr>
              <w:t>Sustainable Procurement Strategies</w:t>
            </w:r>
          </w:p>
          <w:p w14:paraId="01BAED08" w14:textId="77777777" w:rsidR="00E34569" w:rsidRPr="00A84E8D" w:rsidRDefault="00E34569" w:rsidP="00E34569">
            <w:pPr>
              <w:pStyle w:val="ListParagraph"/>
              <w:numPr>
                <w:ilvl w:val="0"/>
                <w:numId w:val="11"/>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Supplier ESG assessment and selection criteria</w:t>
            </w:r>
          </w:p>
          <w:p w14:paraId="7B23F0C5" w14:textId="77777777" w:rsidR="00E34569" w:rsidRDefault="00E34569" w:rsidP="00E34569">
            <w:pPr>
              <w:pStyle w:val="ListParagraph"/>
              <w:numPr>
                <w:ilvl w:val="0"/>
                <w:numId w:val="11"/>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 xml:space="preserve">Inventory management for sustainability </w:t>
            </w:r>
          </w:p>
          <w:p w14:paraId="0548B43E" w14:textId="77777777" w:rsidR="00635D3F" w:rsidRDefault="00E34569" w:rsidP="00635D3F">
            <w:pPr>
              <w:pStyle w:val="ListParagraph"/>
              <w:numPr>
                <w:ilvl w:val="0"/>
                <w:numId w:val="11"/>
              </w:numPr>
              <w:pBdr>
                <w:top w:val="nil"/>
                <w:left w:val="nil"/>
                <w:bottom w:val="nil"/>
                <w:right w:val="nil"/>
                <w:between w:val="nil"/>
              </w:pBdr>
              <w:spacing w:after="0" w:line="240" w:lineRule="auto"/>
              <w:ind w:leftChars="0" w:left="373" w:right="-116" w:hanging="284"/>
              <w:rPr>
                <w:color w:val="000000"/>
                <w:szCs w:val="20"/>
              </w:rPr>
            </w:pPr>
            <w:r w:rsidRPr="00A84E8D">
              <w:rPr>
                <w:color w:val="000000"/>
                <w:szCs w:val="20"/>
              </w:rPr>
              <w:t>Green purchasing policies</w:t>
            </w:r>
          </w:p>
          <w:p w14:paraId="45EF7AE3" w14:textId="7187E428" w:rsidR="00E34569" w:rsidRPr="00635D3F" w:rsidRDefault="00E34569" w:rsidP="00635D3F">
            <w:pPr>
              <w:pStyle w:val="ListParagraph"/>
              <w:numPr>
                <w:ilvl w:val="0"/>
                <w:numId w:val="11"/>
              </w:numPr>
              <w:pBdr>
                <w:top w:val="nil"/>
                <w:left w:val="nil"/>
                <w:bottom w:val="nil"/>
                <w:right w:val="nil"/>
                <w:between w:val="nil"/>
              </w:pBdr>
              <w:spacing w:after="0" w:line="240" w:lineRule="auto"/>
              <w:ind w:leftChars="0" w:left="373" w:right="-116" w:hanging="284"/>
              <w:rPr>
                <w:color w:val="000000"/>
                <w:szCs w:val="20"/>
              </w:rPr>
            </w:pPr>
            <w:r w:rsidRPr="00635D3F">
              <w:rPr>
                <w:color w:val="000000"/>
                <w:szCs w:val="20"/>
              </w:rPr>
              <w:t>Supplier development and capacity building</w:t>
            </w:r>
          </w:p>
        </w:tc>
      </w:tr>
      <w:tr w:rsidR="00E34569" w14:paraId="12A881D8" w14:textId="77777777" w:rsidTr="00431AD0">
        <w:trPr>
          <w:trHeight w:val="276"/>
          <w:jc w:val="center"/>
        </w:trPr>
        <w:tc>
          <w:tcPr>
            <w:tcW w:w="1411" w:type="dxa"/>
            <w:vMerge/>
            <w:shd w:val="clear" w:color="auto" w:fill="D9D9D9"/>
            <w:vAlign w:val="center"/>
          </w:tcPr>
          <w:p w14:paraId="2C00D3F3" w14:textId="77777777" w:rsidR="00E34569" w:rsidRPr="000D0D3C" w:rsidRDefault="00E34569" w:rsidP="00E34569">
            <w:pPr>
              <w:pStyle w:val="NoSpacing"/>
              <w:rPr>
                <w:b/>
              </w:rPr>
            </w:pPr>
          </w:p>
        </w:tc>
        <w:tc>
          <w:tcPr>
            <w:tcW w:w="1360" w:type="dxa"/>
            <w:shd w:val="clear" w:color="auto" w:fill="EDEDED"/>
            <w:vAlign w:val="center"/>
          </w:tcPr>
          <w:p w14:paraId="36CFDBC2" w14:textId="5F576C6C" w:rsidR="00E34569" w:rsidRPr="000D0D3C" w:rsidRDefault="00E34569" w:rsidP="00E34569">
            <w:pPr>
              <w:pStyle w:val="NoSpacing"/>
              <w:jc w:val="center"/>
              <w:rPr>
                <w:b/>
              </w:rPr>
            </w:pPr>
            <w:r>
              <w:rPr>
                <w:rFonts w:hint="eastAsia"/>
                <w:b/>
              </w:rPr>
              <w:t>D</w:t>
            </w:r>
            <w:r>
              <w:rPr>
                <w:b/>
              </w:rPr>
              <w:t>ay 6</w:t>
            </w:r>
          </w:p>
        </w:tc>
        <w:tc>
          <w:tcPr>
            <w:tcW w:w="7028" w:type="dxa"/>
            <w:gridSpan w:val="7"/>
          </w:tcPr>
          <w:p w14:paraId="737D2945" w14:textId="77777777" w:rsidR="00E34569" w:rsidRDefault="00E34569" w:rsidP="00E34569">
            <w:pPr>
              <w:pBdr>
                <w:top w:val="nil"/>
                <w:left w:val="nil"/>
                <w:bottom w:val="nil"/>
                <w:right w:val="nil"/>
                <w:between w:val="nil"/>
              </w:pBdr>
              <w:spacing w:after="0" w:line="240" w:lineRule="auto"/>
              <w:ind w:right="-116"/>
              <w:rPr>
                <w:color w:val="000000"/>
                <w:szCs w:val="20"/>
              </w:rPr>
            </w:pPr>
            <w:r w:rsidRPr="00EF7985">
              <w:rPr>
                <w:color w:val="000000"/>
                <w:szCs w:val="20"/>
              </w:rPr>
              <w:t>Risk Management and Resilience</w:t>
            </w:r>
          </w:p>
          <w:p w14:paraId="23A52B30" w14:textId="77777777" w:rsidR="00E34569" w:rsidRPr="00A943D7" w:rsidRDefault="00E34569" w:rsidP="00E34569">
            <w:pPr>
              <w:pStyle w:val="ListParagraph"/>
              <w:numPr>
                <w:ilvl w:val="0"/>
                <w:numId w:val="12"/>
              </w:numPr>
              <w:pBdr>
                <w:top w:val="nil"/>
                <w:left w:val="nil"/>
                <w:bottom w:val="nil"/>
                <w:right w:val="nil"/>
                <w:between w:val="nil"/>
              </w:pBdr>
              <w:spacing w:after="0" w:line="240" w:lineRule="auto"/>
              <w:ind w:leftChars="0" w:left="373" w:right="-116" w:hanging="284"/>
              <w:rPr>
                <w:color w:val="000000"/>
                <w:szCs w:val="20"/>
              </w:rPr>
            </w:pPr>
            <w:r w:rsidRPr="00A943D7">
              <w:rPr>
                <w:color w:val="000000"/>
                <w:szCs w:val="20"/>
              </w:rPr>
              <w:t>ESG risk identification and assessment</w:t>
            </w:r>
          </w:p>
          <w:p w14:paraId="1276924D" w14:textId="77777777" w:rsidR="00E34569" w:rsidRPr="00A943D7" w:rsidRDefault="00E34569" w:rsidP="00E34569">
            <w:pPr>
              <w:pStyle w:val="ListParagraph"/>
              <w:numPr>
                <w:ilvl w:val="0"/>
                <w:numId w:val="12"/>
              </w:numPr>
              <w:pBdr>
                <w:top w:val="nil"/>
                <w:left w:val="nil"/>
                <w:bottom w:val="nil"/>
                <w:right w:val="nil"/>
                <w:between w:val="nil"/>
              </w:pBdr>
              <w:spacing w:after="0" w:line="240" w:lineRule="auto"/>
              <w:ind w:leftChars="0" w:left="373" w:right="-116" w:hanging="284"/>
              <w:rPr>
                <w:color w:val="000000"/>
                <w:szCs w:val="20"/>
              </w:rPr>
            </w:pPr>
            <w:r w:rsidRPr="00A943D7">
              <w:rPr>
                <w:color w:val="000000"/>
                <w:szCs w:val="20"/>
              </w:rPr>
              <w:t>Supply chain mapping and visibility</w:t>
            </w:r>
          </w:p>
          <w:p w14:paraId="1EEF830A" w14:textId="77777777" w:rsidR="00635D3F" w:rsidRDefault="00E34569" w:rsidP="00635D3F">
            <w:pPr>
              <w:pStyle w:val="ListParagraph"/>
              <w:numPr>
                <w:ilvl w:val="0"/>
                <w:numId w:val="12"/>
              </w:numPr>
              <w:pBdr>
                <w:top w:val="nil"/>
                <w:left w:val="nil"/>
                <w:bottom w:val="nil"/>
                <w:right w:val="nil"/>
                <w:between w:val="nil"/>
              </w:pBdr>
              <w:spacing w:after="0" w:line="240" w:lineRule="auto"/>
              <w:ind w:leftChars="0" w:left="373" w:right="-116" w:hanging="284"/>
              <w:rPr>
                <w:color w:val="000000"/>
                <w:szCs w:val="20"/>
              </w:rPr>
            </w:pPr>
            <w:r w:rsidRPr="00A943D7">
              <w:rPr>
                <w:color w:val="000000"/>
                <w:szCs w:val="20"/>
              </w:rPr>
              <w:t>Disruption planning with ESG considerations</w:t>
            </w:r>
          </w:p>
          <w:p w14:paraId="5F2E6A15" w14:textId="36CAD8E4" w:rsidR="00E34569" w:rsidRPr="00635D3F" w:rsidRDefault="00E34569" w:rsidP="00635D3F">
            <w:pPr>
              <w:pStyle w:val="ListParagraph"/>
              <w:numPr>
                <w:ilvl w:val="0"/>
                <w:numId w:val="12"/>
              </w:numPr>
              <w:pBdr>
                <w:top w:val="nil"/>
                <w:left w:val="nil"/>
                <w:bottom w:val="nil"/>
                <w:right w:val="nil"/>
                <w:between w:val="nil"/>
              </w:pBdr>
              <w:spacing w:after="0" w:line="240" w:lineRule="auto"/>
              <w:ind w:leftChars="0" w:left="373" w:right="-116" w:hanging="284"/>
              <w:rPr>
                <w:color w:val="000000"/>
                <w:szCs w:val="20"/>
              </w:rPr>
            </w:pPr>
            <w:r w:rsidRPr="00635D3F">
              <w:rPr>
                <w:color w:val="000000"/>
                <w:szCs w:val="20"/>
              </w:rPr>
              <w:t>Building resilient and sustainable networks</w:t>
            </w:r>
          </w:p>
        </w:tc>
      </w:tr>
      <w:tr w:rsidR="00E34569" w14:paraId="74217E95" w14:textId="77777777" w:rsidTr="00431AD0">
        <w:trPr>
          <w:trHeight w:val="276"/>
          <w:jc w:val="center"/>
        </w:trPr>
        <w:tc>
          <w:tcPr>
            <w:tcW w:w="1411" w:type="dxa"/>
            <w:vMerge/>
            <w:shd w:val="clear" w:color="auto" w:fill="D9D9D9"/>
            <w:vAlign w:val="center"/>
          </w:tcPr>
          <w:p w14:paraId="658A099E" w14:textId="77777777" w:rsidR="00E34569" w:rsidRPr="000D0D3C" w:rsidRDefault="00E34569" w:rsidP="00E34569">
            <w:pPr>
              <w:pStyle w:val="NoSpacing"/>
              <w:rPr>
                <w:b/>
              </w:rPr>
            </w:pPr>
          </w:p>
        </w:tc>
        <w:tc>
          <w:tcPr>
            <w:tcW w:w="1360" w:type="dxa"/>
            <w:shd w:val="clear" w:color="auto" w:fill="EDEDED"/>
            <w:vAlign w:val="center"/>
          </w:tcPr>
          <w:p w14:paraId="7B9FDD8B" w14:textId="4256CD47" w:rsidR="00E34569" w:rsidRPr="000D0D3C" w:rsidRDefault="00E34569" w:rsidP="00E34569">
            <w:pPr>
              <w:pStyle w:val="NoSpacing"/>
              <w:jc w:val="center"/>
              <w:rPr>
                <w:b/>
              </w:rPr>
            </w:pPr>
            <w:r>
              <w:rPr>
                <w:rFonts w:hint="eastAsia"/>
                <w:b/>
              </w:rPr>
              <w:t>D</w:t>
            </w:r>
            <w:r>
              <w:rPr>
                <w:b/>
              </w:rPr>
              <w:t>ay 7</w:t>
            </w:r>
          </w:p>
        </w:tc>
        <w:tc>
          <w:tcPr>
            <w:tcW w:w="7028" w:type="dxa"/>
            <w:gridSpan w:val="7"/>
          </w:tcPr>
          <w:p w14:paraId="74A6C619" w14:textId="77777777" w:rsidR="00E34569" w:rsidRDefault="00E34569" w:rsidP="00E34569">
            <w:pPr>
              <w:pBdr>
                <w:top w:val="nil"/>
                <w:left w:val="nil"/>
                <w:bottom w:val="nil"/>
                <w:right w:val="nil"/>
                <w:between w:val="nil"/>
              </w:pBdr>
              <w:spacing w:after="0" w:line="240" w:lineRule="auto"/>
              <w:ind w:right="-116"/>
              <w:rPr>
                <w:color w:val="000000"/>
                <w:szCs w:val="20"/>
              </w:rPr>
            </w:pPr>
            <w:r w:rsidRPr="00EF7985">
              <w:rPr>
                <w:color w:val="000000"/>
                <w:szCs w:val="20"/>
              </w:rPr>
              <w:t>Technology and Innovation for ESG</w:t>
            </w:r>
          </w:p>
          <w:p w14:paraId="3D0AAD96" w14:textId="77777777" w:rsidR="00E34569" w:rsidRPr="00901A39" w:rsidRDefault="00E34569" w:rsidP="00E34569">
            <w:pPr>
              <w:pStyle w:val="ListParagraph"/>
              <w:numPr>
                <w:ilvl w:val="0"/>
                <w:numId w:val="13"/>
              </w:numPr>
              <w:pBdr>
                <w:top w:val="nil"/>
                <w:left w:val="nil"/>
                <w:bottom w:val="nil"/>
                <w:right w:val="nil"/>
                <w:between w:val="nil"/>
              </w:pBdr>
              <w:spacing w:after="0" w:line="240" w:lineRule="auto"/>
              <w:ind w:leftChars="0" w:left="373" w:right="-116" w:hanging="284"/>
              <w:rPr>
                <w:color w:val="000000"/>
                <w:szCs w:val="20"/>
              </w:rPr>
            </w:pPr>
            <w:r w:rsidRPr="00901A39">
              <w:rPr>
                <w:color w:val="000000"/>
                <w:szCs w:val="20"/>
              </w:rPr>
              <w:t>Digital tools for ESG tracking and monitoring</w:t>
            </w:r>
          </w:p>
          <w:p w14:paraId="5DB21ABF" w14:textId="77777777" w:rsidR="00E34569" w:rsidRPr="00901A39" w:rsidRDefault="00E34569" w:rsidP="00E34569">
            <w:pPr>
              <w:pStyle w:val="ListParagraph"/>
              <w:numPr>
                <w:ilvl w:val="0"/>
                <w:numId w:val="13"/>
              </w:numPr>
              <w:pBdr>
                <w:top w:val="nil"/>
                <w:left w:val="nil"/>
                <w:bottom w:val="nil"/>
                <w:right w:val="nil"/>
                <w:between w:val="nil"/>
              </w:pBdr>
              <w:spacing w:after="0" w:line="240" w:lineRule="auto"/>
              <w:ind w:leftChars="0" w:left="373" w:right="-116" w:hanging="284"/>
              <w:rPr>
                <w:color w:val="000000"/>
                <w:szCs w:val="20"/>
              </w:rPr>
            </w:pPr>
            <w:r w:rsidRPr="00901A39">
              <w:rPr>
                <w:color w:val="000000"/>
                <w:szCs w:val="20"/>
              </w:rPr>
              <w:t>Blockchain for transparency</w:t>
            </w:r>
          </w:p>
          <w:p w14:paraId="6E017D18" w14:textId="77777777" w:rsidR="00635D3F" w:rsidRDefault="00E34569" w:rsidP="00635D3F">
            <w:pPr>
              <w:pStyle w:val="ListParagraph"/>
              <w:numPr>
                <w:ilvl w:val="0"/>
                <w:numId w:val="13"/>
              </w:numPr>
              <w:pBdr>
                <w:top w:val="nil"/>
                <w:left w:val="nil"/>
                <w:bottom w:val="nil"/>
                <w:right w:val="nil"/>
                <w:between w:val="nil"/>
              </w:pBdr>
              <w:spacing w:after="0" w:line="240" w:lineRule="auto"/>
              <w:ind w:leftChars="0" w:left="373" w:right="-116" w:hanging="284"/>
              <w:rPr>
                <w:color w:val="000000"/>
                <w:szCs w:val="20"/>
              </w:rPr>
            </w:pPr>
            <w:r w:rsidRPr="00901A39">
              <w:rPr>
                <w:rFonts w:hint="eastAsia"/>
                <w:color w:val="000000"/>
                <w:szCs w:val="20"/>
              </w:rPr>
              <w:t>P</w:t>
            </w:r>
            <w:r w:rsidRPr="00901A39">
              <w:rPr>
                <w:color w:val="000000"/>
                <w:szCs w:val="20"/>
              </w:rPr>
              <w:t>redictive analytics for sustainability</w:t>
            </w:r>
          </w:p>
          <w:p w14:paraId="3F0313F5" w14:textId="0FD809ED" w:rsidR="00E34569" w:rsidRPr="00635D3F" w:rsidRDefault="00E34569" w:rsidP="00635D3F">
            <w:pPr>
              <w:pStyle w:val="ListParagraph"/>
              <w:numPr>
                <w:ilvl w:val="0"/>
                <w:numId w:val="13"/>
              </w:numPr>
              <w:pBdr>
                <w:top w:val="nil"/>
                <w:left w:val="nil"/>
                <w:bottom w:val="nil"/>
                <w:right w:val="nil"/>
                <w:between w:val="nil"/>
              </w:pBdr>
              <w:spacing w:after="0" w:line="240" w:lineRule="auto"/>
              <w:ind w:leftChars="0" w:left="373" w:right="-116" w:hanging="284"/>
              <w:rPr>
                <w:color w:val="000000"/>
                <w:szCs w:val="20"/>
              </w:rPr>
            </w:pPr>
            <w:r w:rsidRPr="00635D3F">
              <w:rPr>
                <w:color w:val="000000"/>
                <w:szCs w:val="20"/>
              </w:rPr>
              <w:t>Transportation optimization with emissions constraints</w:t>
            </w:r>
          </w:p>
        </w:tc>
      </w:tr>
      <w:tr w:rsidR="00AA6484" w14:paraId="626AC540" w14:textId="77777777" w:rsidTr="00431AD0">
        <w:trPr>
          <w:trHeight w:val="276"/>
          <w:jc w:val="center"/>
        </w:trPr>
        <w:tc>
          <w:tcPr>
            <w:tcW w:w="1411" w:type="dxa"/>
            <w:vMerge/>
            <w:shd w:val="clear" w:color="auto" w:fill="D9D9D9"/>
            <w:vAlign w:val="center"/>
          </w:tcPr>
          <w:p w14:paraId="44021F80" w14:textId="77777777" w:rsidR="00AA6484" w:rsidRPr="000D0D3C" w:rsidRDefault="00AA6484" w:rsidP="00175E6D">
            <w:pPr>
              <w:pStyle w:val="NoSpacing"/>
              <w:rPr>
                <w:b/>
              </w:rPr>
            </w:pPr>
          </w:p>
        </w:tc>
        <w:tc>
          <w:tcPr>
            <w:tcW w:w="1360" w:type="dxa"/>
            <w:shd w:val="clear" w:color="auto" w:fill="EDEDED"/>
            <w:vAlign w:val="center"/>
          </w:tcPr>
          <w:p w14:paraId="207F57A1" w14:textId="0B099591" w:rsidR="00AA6484" w:rsidRPr="000D0D3C" w:rsidRDefault="00AA6484" w:rsidP="00CE096B">
            <w:pPr>
              <w:pStyle w:val="NoSpacing"/>
              <w:jc w:val="center"/>
              <w:rPr>
                <w:b/>
              </w:rPr>
            </w:pPr>
            <w:r>
              <w:rPr>
                <w:rFonts w:hint="eastAsia"/>
                <w:b/>
              </w:rPr>
              <w:t>D</w:t>
            </w:r>
            <w:r>
              <w:rPr>
                <w:b/>
              </w:rPr>
              <w:t>ay 8</w:t>
            </w:r>
          </w:p>
        </w:tc>
        <w:tc>
          <w:tcPr>
            <w:tcW w:w="7028" w:type="dxa"/>
            <w:gridSpan w:val="7"/>
          </w:tcPr>
          <w:p w14:paraId="2291C89A" w14:textId="77777777" w:rsidR="00AA6484" w:rsidRDefault="00E34569" w:rsidP="00AA6484">
            <w:pPr>
              <w:pStyle w:val="NoSpacing"/>
              <w:ind w:rightChars="-58" w:right="-116"/>
            </w:pPr>
            <w:r w:rsidRPr="00E34569">
              <w:t>Performance Measurement and Reporting</w:t>
            </w:r>
          </w:p>
          <w:p w14:paraId="27E22C1C" w14:textId="77777777" w:rsidR="00635D3F" w:rsidRDefault="00635D3F" w:rsidP="00635D3F">
            <w:pPr>
              <w:pStyle w:val="NoSpacing"/>
              <w:numPr>
                <w:ilvl w:val="0"/>
                <w:numId w:val="6"/>
              </w:numPr>
              <w:ind w:left="381" w:rightChars="-58" w:right="-116" w:hanging="284"/>
            </w:pPr>
            <w:r>
              <w:t>ESG metrics and KPIs development</w:t>
            </w:r>
          </w:p>
          <w:p w14:paraId="132ED9C5" w14:textId="77777777" w:rsidR="00635D3F" w:rsidRDefault="00635D3F" w:rsidP="00635D3F">
            <w:pPr>
              <w:pStyle w:val="NoSpacing"/>
              <w:numPr>
                <w:ilvl w:val="0"/>
                <w:numId w:val="6"/>
              </w:numPr>
              <w:ind w:left="381" w:rightChars="-58" w:right="-116" w:hanging="284"/>
            </w:pPr>
            <w:r>
              <w:t>Life Cycle Assessment (LCA) basics</w:t>
            </w:r>
          </w:p>
          <w:p w14:paraId="07651C48" w14:textId="77777777" w:rsidR="00635D3F" w:rsidRDefault="00635D3F" w:rsidP="00635D3F">
            <w:pPr>
              <w:pStyle w:val="NoSpacing"/>
              <w:numPr>
                <w:ilvl w:val="0"/>
                <w:numId w:val="6"/>
              </w:numPr>
              <w:ind w:left="381" w:rightChars="-58" w:right="-116" w:hanging="284"/>
            </w:pPr>
            <w:r>
              <w:t>Return on Sustainability Investment (ROSI)</w:t>
            </w:r>
          </w:p>
          <w:p w14:paraId="50518511" w14:textId="4CFAB518" w:rsidR="00635D3F" w:rsidRDefault="00635D3F" w:rsidP="00635D3F">
            <w:pPr>
              <w:pStyle w:val="NoSpacing"/>
              <w:numPr>
                <w:ilvl w:val="0"/>
                <w:numId w:val="6"/>
              </w:numPr>
              <w:ind w:left="381" w:rightChars="-58" w:right="-116" w:hanging="284"/>
            </w:pPr>
            <w:r>
              <w:t>Creating ESG dashboards and scorecards</w:t>
            </w:r>
          </w:p>
        </w:tc>
      </w:tr>
      <w:tr w:rsidR="00AA6484" w14:paraId="16F62D13" w14:textId="77777777" w:rsidTr="00431AD0">
        <w:trPr>
          <w:trHeight w:val="276"/>
          <w:jc w:val="center"/>
        </w:trPr>
        <w:tc>
          <w:tcPr>
            <w:tcW w:w="1411" w:type="dxa"/>
            <w:vMerge/>
            <w:shd w:val="clear" w:color="auto" w:fill="D9D9D9"/>
            <w:vAlign w:val="center"/>
          </w:tcPr>
          <w:p w14:paraId="351E0D8E" w14:textId="77777777" w:rsidR="00AA6484" w:rsidRPr="000D0D3C" w:rsidRDefault="00AA6484" w:rsidP="00175E6D">
            <w:pPr>
              <w:pStyle w:val="NoSpacing"/>
              <w:rPr>
                <w:b/>
              </w:rPr>
            </w:pPr>
          </w:p>
        </w:tc>
        <w:tc>
          <w:tcPr>
            <w:tcW w:w="1360" w:type="dxa"/>
            <w:shd w:val="clear" w:color="auto" w:fill="EDEDED"/>
            <w:vAlign w:val="center"/>
          </w:tcPr>
          <w:p w14:paraId="5CFACA3D" w14:textId="7A1C6C19" w:rsidR="00AA6484" w:rsidRPr="000D0D3C" w:rsidRDefault="00AA6484" w:rsidP="00CE096B">
            <w:pPr>
              <w:pStyle w:val="NoSpacing"/>
              <w:jc w:val="center"/>
              <w:rPr>
                <w:b/>
              </w:rPr>
            </w:pPr>
            <w:r>
              <w:rPr>
                <w:rFonts w:hint="eastAsia"/>
                <w:b/>
              </w:rPr>
              <w:t>D</w:t>
            </w:r>
            <w:r>
              <w:rPr>
                <w:b/>
              </w:rPr>
              <w:t>ay 9</w:t>
            </w:r>
          </w:p>
        </w:tc>
        <w:tc>
          <w:tcPr>
            <w:tcW w:w="7028" w:type="dxa"/>
            <w:gridSpan w:val="7"/>
          </w:tcPr>
          <w:p w14:paraId="1C2D7535" w14:textId="672266E0" w:rsidR="00AA6484" w:rsidRDefault="00E34569" w:rsidP="00AA6484">
            <w:pPr>
              <w:pStyle w:val="NoSpacing"/>
              <w:ind w:rightChars="-58" w:right="-116"/>
            </w:pPr>
            <w:r>
              <w:rPr>
                <w:rFonts w:hint="eastAsia"/>
                <w:color w:val="000000"/>
                <w:szCs w:val="20"/>
              </w:rPr>
              <w:t>ESG Case Presentations</w:t>
            </w:r>
          </w:p>
        </w:tc>
      </w:tr>
    </w:tbl>
    <w:p w14:paraId="59EA66CC" w14:textId="77777777" w:rsidR="00EE2054" w:rsidRPr="005D2FED" w:rsidRDefault="00EE2054" w:rsidP="005D2FED">
      <w:pPr>
        <w:pStyle w:val="NoSpacing"/>
        <w:rPr>
          <w:sz w:val="14"/>
        </w:rPr>
      </w:pPr>
    </w:p>
    <w:sectPr w:rsidR="00EE2054" w:rsidRPr="005D2FED" w:rsidSect="00EE2054">
      <w:headerReference w:type="default" r:id="rId10"/>
      <w:headerReference w:type="first" r:id="rId11"/>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9F27" w14:textId="77777777" w:rsidR="00F778D8" w:rsidRDefault="00F778D8" w:rsidP="006D23FB">
      <w:pPr>
        <w:spacing w:after="0" w:line="240" w:lineRule="auto"/>
      </w:pPr>
      <w:r>
        <w:separator/>
      </w:r>
    </w:p>
  </w:endnote>
  <w:endnote w:type="continuationSeparator" w:id="0">
    <w:p w14:paraId="0173F563" w14:textId="77777777" w:rsidR="00F778D8" w:rsidRDefault="00F778D8"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B315" w14:textId="77777777" w:rsidR="00F778D8" w:rsidRDefault="00F778D8" w:rsidP="006D23FB">
      <w:pPr>
        <w:spacing w:after="0" w:line="240" w:lineRule="auto"/>
      </w:pPr>
      <w:r>
        <w:separator/>
      </w:r>
    </w:p>
  </w:footnote>
  <w:footnote w:type="continuationSeparator" w:id="0">
    <w:p w14:paraId="66F7CDA1" w14:textId="77777777" w:rsidR="00F778D8" w:rsidRDefault="00F778D8"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5A84" w14:textId="77777777" w:rsidR="00DC64A6" w:rsidRDefault="00A96EDB" w:rsidP="00C40018">
    <w:pPr>
      <w:pStyle w:val="Header"/>
      <w:jc w:val="right"/>
    </w:pPr>
    <w:r w:rsidRPr="00EB3247">
      <w:rPr>
        <w:rFonts w:cs="Arial"/>
        <w:noProof/>
        <w:sz w:val="24"/>
      </w:rPr>
      <w:drawing>
        <wp:inline distT="0" distB="0" distL="0" distR="0" wp14:anchorId="6D349208" wp14:editId="14D33E3C">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466A" w14:textId="71974AA0" w:rsidR="00DC64A6" w:rsidRDefault="00A96EDB" w:rsidP="00C40018">
    <w:pPr>
      <w:pStyle w:val="Header"/>
      <w:jc w:val="center"/>
    </w:pPr>
    <w:r w:rsidRPr="00EB3247">
      <w:rPr>
        <w:rFonts w:cs="Arial"/>
        <w:noProof/>
        <w:sz w:val="24"/>
      </w:rPr>
      <w:drawing>
        <wp:inline distT="0" distB="0" distL="0" distR="0" wp14:anchorId="07074B0F" wp14:editId="3DD727F6">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r w:rsidR="00DC64A6" w:rsidRPr="00C40018">
      <w:rPr>
        <w:rFonts w:hint="eastAsia"/>
        <w:b/>
        <w:sz w:val="28"/>
      </w:rPr>
      <w:t>Hanyang International</w:t>
    </w:r>
    <w:r w:rsidR="00CE096B">
      <w:rPr>
        <w:b/>
        <w:sz w:val="28"/>
      </w:rPr>
      <w:t xml:space="preserve"> </w:t>
    </w:r>
    <w:r w:rsidR="00C82E9B">
      <w:rPr>
        <w:b/>
        <w:sz w:val="28"/>
      </w:rPr>
      <w:t>Winter</w:t>
    </w:r>
    <w:r w:rsidR="00DC64A6">
      <w:rPr>
        <w:b/>
        <w:sz w:val="28"/>
      </w:rPr>
      <w:t xml:space="preserve"> </w:t>
    </w:r>
    <w:r w:rsidR="00DC64A6" w:rsidRPr="00C40018">
      <w:rPr>
        <w:rFonts w:hint="eastAsia"/>
        <w:b/>
        <w:sz w:val="28"/>
      </w:rPr>
      <w:t>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7AA"/>
    <w:multiLevelType w:val="hybridMultilevel"/>
    <w:tmpl w:val="24F2CA3E"/>
    <w:lvl w:ilvl="0" w:tplc="118C768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7B93B5E"/>
    <w:multiLevelType w:val="hybridMultilevel"/>
    <w:tmpl w:val="AD3076A0"/>
    <w:lvl w:ilvl="0" w:tplc="118C768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1E0A1901"/>
    <w:multiLevelType w:val="hybridMultilevel"/>
    <w:tmpl w:val="EFB2FDA0"/>
    <w:lvl w:ilvl="0" w:tplc="118C768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1E6B1D52"/>
    <w:multiLevelType w:val="hybridMultilevel"/>
    <w:tmpl w:val="6CB00468"/>
    <w:lvl w:ilvl="0" w:tplc="118C7684">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76C1DD3"/>
    <w:multiLevelType w:val="hybridMultilevel"/>
    <w:tmpl w:val="B6068820"/>
    <w:lvl w:ilvl="0" w:tplc="118C768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7"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5F772702"/>
    <w:multiLevelType w:val="hybridMultilevel"/>
    <w:tmpl w:val="7FCC477C"/>
    <w:lvl w:ilvl="0" w:tplc="118C768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6D563BA9"/>
    <w:multiLevelType w:val="hybridMultilevel"/>
    <w:tmpl w:val="040215EE"/>
    <w:lvl w:ilvl="0" w:tplc="118C7684">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2" w15:restartNumberingAfterBreak="0">
    <w:nsid w:val="70A52F0A"/>
    <w:multiLevelType w:val="hybridMultilevel"/>
    <w:tmpl w:val="7BAAAD56"/>
    <w:lvl w:ilvl="0" w:tplc="118C768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123647409">
    <w:abstractNumId w:val="8"/>
  </w:num>
  <w:num w:numId="2" w16cid:durableId="1596134777">
    <w:abstractNumId w:val="10"/>
  </w:num>
  <w:num w:numId="3" w16cid:durableId="400059580">
    <w:abstractNumId w:val="6"/>
  </w:num>
  <w:num w:numId="4" w16cid:durableId="2130734772">
    <w:abstractNumId w:val="5"/>
  </w:num>
  <w:num w:numId="5" w16cid:durableId="688676969">
    <w:abstractNumId w:val="7"/>
  </w:num>
  <w:num w:numId="6" w16cid:durableId="2104064907">
    <w:abstractNumId w:val="3"/>
  </w:num>
  <w:num w:numId="7" w16cid:durableId="96798219">
    <w:abstractNumId w:val="11"/>
  </w:num>
  <w:num w:numId="8" w16cid:durableId="569929637">
    <w:abstractNumId w:val="9"/>
  </w:num>
  <w:num w:numId="9" w16cid:durableId="424423520">
    <w:abstractNumId w:val="1"/>
  </w:num>
  <w:num w:numId="10" w16cid:durableId="743574806">
    <w:abstractNumId w:val="4"/>
  </w:num>
  <w:num w:numId="11" w16cid:durableId="45223779">
    <w:abstractNumId w:val="0"/>
  </w:num>
  <w:num w:numId="12" w16cid:durableId="671564103">
    <w:abstractNumId w:val="12"/>
  </w:num>
  <w:num w:numId="13" w16cid:durableId="1189681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32458"/>
    <w:rsid w:val="00037248"/>
    <w:rsid w:val="00095810"/>
    <w:rsid w:val="000A0E8B"/>
    <w:rsid w:val="000A6BF7"/>
    <w:rsid w:val="000B286C"/>
    <w:rsid w:val="000B64D5"/>
    <w:rsid w:val="000D0D3C"/>
    <w:rsid w:val="000E1068"/>
    <w:rsid w:val="00140A6E"/>
    <w:rsid w:val="00151783"/>
    <w:rsid w:val="00175E6D"/>
    <w:rsid w:val="00197547"/>
    <w:rsid w:val="001E01E6"/>
    <w:rsid w:val="001F5227"/>
    <w:rsid w:val="00204BD8"/>
    <w:rsid w:val="00213A41"/>
    <w:rsid w:val="00223234"/>
    <w:rsid w:val="00290F19"/>
    <w:rsid w:val="00296258"/>
    <w:rsid w:val="002B0665"/>
    <w:rsid w:val="002D48AE"/>
    <w:rsid w:val="0030617D"/>
    <w:rsid w:val="003329A7"/>
    <w:rsid w:val="00334909"/>
    <w:rsid w:val="00343F24"/>
    <w:rsid w:val="00344E41"/>
    <w:rsid w:val="00350F6C"/>
    <w:rsid w:val="00362DFA"/>
    <w:rsid w:val="00365AEA"/>
    <w:rsid w:val="003819C5"/>
    <w:rsid w:val="00390388"/>
    <w:rsid w:val="003B5883"/>
    <w:rsid w:val="003B752A"/>
    <w:rsid w:val="003D6145"/>
    <w:rsid w:val="003E471E"/>
    <w:rsid w:val="004045F3"/>
    <w:rsid w:val="0047229A"/>
    <w:rsid w:val="004A409F"/>
    <w:rsid w:val="004D226C"/>
    <w:rsid w:val="004D2D67"/>
    <w:rsid w:val="004E05A4"/>
    <w:rsid w:val="004E3580"/>
    <w:rsid w:val="00502D96"/>
    <w:rsid w:val="00545240"/>
    <w:rsid w:val="0056003B"/>
    <w:rsid w:val="005708EB"/>
    <w:rsid w:val="005A3AC1"/>
    <w:rsid w:val="005A3EF8"/>
    <w:rsid w:val="005C3132"/>
    <w:rsid w:val="005C4307"/>
    <w:rsid w:val="005D2FED"/>
    <w:rsid w:val="005E23FC"/>
    <w:rsid w:val="00635D3F"/>
    <w:rsid w:val="00676906"/>
    <w:rsid w:val="0068749B"/>
    <w:rsid w:val="006A5E66"/>
    <w:rsid w:val="006B3F62"/>
    <w:rsid w:val="006B4BBF"/>
    <w:rsid w:val="006B787B"/>
    <w:rsid w:val="006C668E"/>
    <w:rsid w:val="006D0D6B"/>
    <w:rsid w:val="006D23FB"/>
    <w:rsid w:val="006D5931"/>
    <w:rsid w:val="006F5B3C"/>
    <w:rsid w:val="007232AC"/>
    <w:rsid w:val="00725B65"/>
    <w:rsid w:val="00734A80"/>
    <w:rsid w:val="00760E01"/>
    <w:rsid w:val="007614F5"/>
    <w:rsid w:val="007A5C7A"/>
    <w:rsid w:val="007C480D"/>
    <w:rsid w:val="007E3C59"/>
    <w:rsid w:val="00824381"/>
    <w:rsid w:val="00840163"/>
    <w:rsid w:val="008C1078"/>
    <w:rsid w:val="008C59DD"/>
    <w:rsid w:val="008D1724"/>
    <w:rsid w:val="008E59B4"/>
    <w:rsid w:val="0091088F"/>
    <w:rsid w:val="00920641"/>
    <w:rsid w:val="009551A7"/>
    <w:rsid w:val="00961C51"/>
    <w:rsid w:val="0097217A"/>
    <w:rsid w:val="00996A70"/>
    <w:rsid w:val="009A0858"/>
    <w:rsid w:val="009A2AC2"/>
    <w:rsid w:val="00A31B61"/>
    <w:rsid w:val="00A40336"/>
    <w:rsid w:val="00A41CF1"/>
    <w:rsid w:val="00A639AA"/>
    <w:rsid w:val="00A67970"/>
    <w:rsid w:val="00A86EB0"/>
    <w:rsid w:val="00A96EDB"/>
    <w:rsid w:val="00AA6484"/>
    <w:rsid w:val="00AA6936"/>
    <w:rsid w:val="00AB026B"/>
    <w:rsid w:val="00AD0665"/>
    <w:rsid w:val="00AF49A0"/>
    <w:rsid w:val="00B202A2"/>
    <w:rsid w:val="00B24862"/>
    <w:rsid w:val="00B675E2"/>
    <w:rsid w:val="00B71DF9"/>
    <w:rsid w:val="00B75DF3"/>
    <w:rsid w:val="00B84A41"/>
    <w:rsid w:val="00B87E04"/>
    <w:rsid w:val="00B94010"/>
    <w:rsid w:val="00BC1B74"/>
    <w:rsid w:val="00BC51AD"/>
    <w:rsid w:val="00C36EB8"/>
    <w:rsid w:val="00C40018"/>
    <w:rsid w:val="00C6246D"/>
    <w:rsid w:val="00C82E9B"/>
    <w:rsid w:val="00C93CED"/>
    <w:rsid w:val="00CC7F30"/>
    <w:rsid w:val="00CE096B"/>
    <w:rsid w:val="00D327BB"/>
    <w:rsid w:val="00D412E9"/>
    <w:rsid w:val="00DA07A7"/>
    <w:rsid w:val="00DC64A6"/>
    <w:rsid w:val="00DD40E8"/>
    <w:rsid w:val="00DF3177"/>
    <w:rsid w:val="00E31F4A"/>
    <w:rsid w:val="00E34569"/>
    <w:rsid w:val="00E35E17"/>
    <w:rsid w:val="00E676C7"/>
    <w:rsid w:val="00E91734"/>
    <w:rsid w:val="00EB3247"/>
    <w:rsid w:val="00EE2054"/>
    <w:rsid w:val="00EF0BA8"/>
    <w:rsid w:val="00EF3F3C"/>
    <w:rsid w:val="00F0127B"/>
    <w:rsid w:val="00F24E19"/>
    <w:rsid w:val="00F57D43"/>
    <w:rsid w:val="00F778D8"/>
    <w:rsid w:val="00FA08C4"/>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4B57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spacing w:after="160" w:line="259" w:lineRule="auto"/>
      <w:jc w:val="both"/>
    </w:pPr>
    <w:rPr>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29A"/>
    <w:pPr>
      <w:ind w:leftChars="400" w:left="800"/>
    </w:pPr>
  </w:style>
  <w:style w:type="paragraph" w:styleId="Header">
    <w:name w:val="header"/>
    <w:basedOn w:val="Normal"/>
    <w:link w:val="HeaderChar"/>
    <w:uiPriority w:val="99"/>
    <w:unhideWhenUsed/>
    <w:rsid w:val="006D23FB"/>
    <w:pPr>
      <w:tabs>
        <w:tab w:val="center" w:pos="4513"/>
        <w:tab w:val="right" w:pos="9026"/>
      </w:tabs>
      <w:snapToGrid w:val="0"/>
    </w:pPr>
  </w:style>
  <w:style w:type="character" w:customStyle="1" w:styleId="HeaderChar">
    <w:name w:val="Header Char"/>
    <w:basedOn w:val="DefaultParagraphFont"/>
    <w:link w:val="Header"/>
    <w:uiPriority w:val="99"/>
    <w:rsid w:val="006D23FB"/>
  </w:style>
  <w:style w:type="paragraph" w:styleId="Footer">
    <w:name w:val="footer"/>
    <w:basedOn w:val="Normal"/>
    <w:link w:val="FooterChar"/>
    <w:uiPriority w:val="99"/>
    <w:unhideWhenUsed/>
    <w:rsid w:val="006D23FB"/>
    <w:pPr>
      <w:tabs>
        <w:tab w:val="center" w:pos="4513"/>
        <w:tab w:val="right" w:pos="9026"/>
      </w:tabs>
      <w:snapToGrid w:val="0"/>
    </w:pPr>
  </w:style>
  <w:style w:type="character" w:customStyle="1" w:styleId="FooterChar">
    <w:name w:val="Footer Char"/>
    <w:basedOn w:val="DefaultParagraphFont"/>
    <w:link w:val="Footer"/>
    <w:uiPriority w:val="99"/>
    <w:rsid w:val="006D23FB"/>
  </w:style>
  <w:style w:type="character" w:styleId="Hyperlink">
    <w:name w:val="Hyperlink"/>
    <w:uiPriority w:val="99"/>
    <w:unhideWhenUsed/>
    <w:rsid w:val="003329A7"/>
    <w:rPr>
      <w:color w:val="0563C1"/>
      <w:u w:val="single"/>
    </w:rPr>
  </w:style>
  <w:style w:type="paragraph" w:styleId="NoSpacing">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 w:type="character" w:styleId="UnresolvedMention">
    <w:name w:val="Unresolved Mention"/>
    <w:basedOn w:val="DefaultParagraphFont"/>
    <w:uiPriority w:val="99"/>
    <w:semiHidden/>
    <w:unhideWhenUsed/>
    <w:rsid w:val="001F5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ungkyo@hanyang.ac.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t.ly/MKK_HUBS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6105-E692-415F-9760-1C2A973C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493</Words>
  <Characters>2815</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Hanyang University</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M.K. Kim</cp:lastModifiedBy>
  <cp:revision>14</cp:revision>
  <dcterms:created xsi:type="dcterms:W3CDTF">2023-02-02T06:31:00Z</dcterms:created>
  <dcterms:modified xsi:type="dcterms:W3CDTF">2025-09-06T17:12:00Z</dcterms:modified>
</cp:coreProperties>
</file>