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D75E8" w14:textId="77777777" w:rsidR="00036C99" w:rsidRDefault="00036C99">
      <w:pPr>
        <w:pBdr>
          <w:top w:val="nil"/>
          <w:left w:val="nil"/>
          <w:bottom w:val="nil"/>
          <w:right w:val="nil"/>
          <w:between w:val="nil"/>
        </w:pBdr>
        <w:spacing w:line="276" w:lineRule="auto"/>
        <w:rPr>
          <w:rFonts w:ascii="Arial" w:eastAsia="Arial" w:hAnsi="Arial" w:cs="Arial"/>
          <w:b/>
          <w:color w:val="000000"/>
          <w:sz w:val="22"/>
          <w:szCs w:val="22"/>
        </w:rPr>
      </w:pPr>
    </w:p>
    <w:tbl>
      <w:tblPr>
        <w:tblStyle w:val="a5"/>
        <w:tblW w:w="98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0"/>
        <w:gridCol w:w="1365"/>
        <w:gridCol w:w="900"/>
        <w:gridCol w:w="1845"/>
        <w:gridCol w:w="1320"/>
        <w:gridCol w:w="825"/>
        <w:gridCol w:w="390"/>
        <w:gridCol w:w="1170"/>
        <w:gridCol w:w="585"/>
      </w:tblGrid>
      <w:tr w:rsidR="00036C99" w14:paraId="6C51101B" w14:textId="77777777">
        <w:trPr>
          <w:trHeight w:val="101"/>
          <w:jc w:val="center"/>
        </w:trPr>
        <w:tc>
          <w:tcPr>
            <w:tcW w:w="1410" w:type="dxa"/>
            <w:vMerge w:val="restart"/>
            <w:shd w:val="clear" w:color="auto" w:fill="D9D9D9"/>
            <w:vAlign w:val="center"/>
          </w:tcPr>
          <w:p w14:paraId="4B113D04" w14:textId="77777777" w:rsidR="00036C99" w:rsidRDefault="001F5511">
            <w:pPr>
              <w:pBdr>
                <w:top w:val="nil"/>
                <w:left w:val="nil"/>
                <w:bottom w:val="nil"/>
                <w:right w:val="nil"/>
                <w:between w:val="nil"/>
              </w:pBdr>
              <w:jc w:val="both"/>
              <w:rPr>
                <w:rFonts w:ascii="맑은 고딕" w:eastAsia="맑은 고딕" w:hAnsi="맑은 고딕" w:cs="맑은 고딕"/>
                <w:b/>
                <w:color w:val="000000"/>
              </w:rPr>
            </w:pPr>
            <w:r>
              <w:rPr>
                <w:rFonts w:ascii="맑은 고딕" w:eastAsia="맑은 고딕" w:hAnsi="맑은 고딕" w:cs="맑은 고딕"/>
                <w:b/>
                <w:color w:val="000000"/>
              </w:rPr>
              <w:t>Faculty Information</w:t>
            </w:r>
          </w:p>
        </w:tc>
        <w:tc>
          <w:tcPr>
            <w:tcW w:w="2265" w:type="dxa"/>
            <w:gridSpan w:val="2"/>
            <w:shd w:val="clear" w:color="auto" w:fill="EDEDED"/>
            <w:vAlign w:val="center"/>
          </w:tcPr>
          <w:p w14:paraId="6F5EA654"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Name</w:t>
            </w:r>
          </w:p>
        </w:tc>
        <w:tc>
          <w:tcPr>
            <w:tcW w:w="6135" w:type="dxa"/>
            <w:gridSpan w:val="6"/>
            <w:shd w:val="clear" w:color="auto" w:fill="auto"/>
          </w:tcPr>
          <w:p w14:paraId="1D1FE997" w14:textId="77777777" w:rsidR="00036C99" w:rsidRDefault="001F5511">
            <w:pPr>
              <w:pBdr>
                <w:top w:val="nil"/>
                <w:left w:val="nil"/>
                <w:bottom w:val="nil"/>
                <w:right w:val="nil"/>
                <w:between w:val="nil"/>
              </w:pBdr>
              <w:jc w:val="both"/>
              <w:rPr>
                <w:rFonts w:ascii="맑은 고딕" w:eastAsia="맑은 고딕" w:hAnsi="맑은 고딕" w:cs="맑은 고딕"/>
                <w:color w:val="000000"/>
              </w:rPr>
            </w:pPr>
            <w:r>
              <w:t>Hyoung-Goo Kang</w:t>
            </w:r>
          </w:p>
        </w:tc>
      </w:tr>
      <w:tr w:rsidR="00036C99" w14:paraId="2B7083EC" w14:textId="77777777">
        <w:trPr>
          <w:trHeight w:val="101"/>
          <w:jc w:val="center"/>
        </w:trPr>
        <w:tc>
          <w:tcPr>
            <w:tcW w:w="1410" w:type="dxa"/>
            <w:vMerge/>
            <w:shd w:val="clear" w:color="auto" w:fill="D9D9D9"/>
            <w:vAlign w:val="center"/>
          </w:tcPr>
          <w:p w14:paraId="7CE3DC3B"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4C84D086"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E-mail</w:t>
            </w:r>
          </w:p>
        </w:tc>
        <w:tc>
          <w:tcPr>
            <w:tcW w:w="6135" w:type="dxa"/>
            <w:gridSpan w:val="6"/>
            <w:shd w:val="clear" w:color="auto" w:fill="auto"/>
          </w:tcPr>
          <w:p w14:paraId="1E407FB8" w14:textId="77777777" w:rsidR="00036C99" w:rsidRDefault="009655EC">
            <w:pPr>
              <w:pBdr>
                <w:top w:val="nil"/>
                <w:left w:val="nil"/>
                <w:bottom w:val="nil"/>
                <w:right w:val="nil"/>
                <w:between w:val="nil"/>
              </w:pBdr>
              <w:jc w:val="both"/>
              <w:rPr>
                <w:rFonts w:ascii="맑은 고딕" w:eastAsia="맑은 고딕" w:hAnsi="맑은 고딕" w:cs="맑은 고딕"/>
                <w:color w:val="000000"/>
              </w:rPr>
            </w:pPr>
            <w:hyperlink r:id="rId6">
              <w:r w:rsidR="001F5511">
                <w:rPr>
                  <w:color w:val="1155CC"/>
                  <w:u w:val="single"/>
                </w:rPr>
                <w:t>hyoungkang@hanyang.ac.kr</w:t>
              </w:r>
            </w:hyperlink>
            <w:r w:rsidR="001F5511">
              <w:t xml:space="preserve"> </w:t>
            </w:r>
          </w:p>
        </w:tc>
      </w:tr>
      <w:tr w:rsidR="00036C99" w14:paraId="05C4F0A4" w14:textId="77777777">
        <w:trPr>
          <w:trHeight w:val="101"/>
          <w:jc w:val="center"/>
        </w:trPr>
        <w:tc>
          <w:tcPr>
            <w:tcW w:w="1410" w:type="dxa"/>
            <w:vMerge/>
            <w:shd w:val="clear" w:color="auto" w:fill="D9D9D9"/>
            <w:vAlign w:val="center"/>
          </w:tcPr>
          <w:p w14:paraId="1681B28E"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08AB9F72"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Home University</w:t>
            </w:r>
          </w:p>
        </w:tc>
        <w:tc>
          <w:tcPr>
            <w:tcW w:w="6135" w:type="dxa"/>
            <w:gridSpan w:val="6"/>
            <w:shd w:val="clear" w:color="auto" w:fill="auto"/>
          </w:tcPr>
          <w:p w14:paraId="3B10922F" w14:textId="77777777" w:rsidR="00036C99" w:rsidRDefault="001F5511">
            <w:pPr>
              <w:pBdr>
                <w:top w:val="nil"/>
                <w:left w:val="nil"/>
                <w:bottom w:val="nil"/>
                <w:right w:val="nil"/>
                <w:between w:val="nil"/>
              </w:pBdr>
              <w:jc w:val="both"/>
              <w:rPr>
                <w:rFonts w:ascii="맑은 고딕" w:eastAsia="맑은 고딕" w:hAnsi="맑은 고딕" w:cs="맑은 고딕"/>
                <w:color w:val="000000"/>
              </w:rPr>
            </w:pPr>
            <w:r>
              <w:t>Hanyang University</w:t>
            </w:r>
          </w:p>
        </w:tc>
      </w:tr>
      <w:tr w:rsidR="00036C99" w14:paraId="6CEEDB4C" w14:textId="77777777">
        <w:trPr>
          <w:trHeight w:val="101"/>
          <w:jc w:val="center"/>
        </w:trPr>
        <w:tc>
          <w:tcPr>
            <w:tcW w:w="1410" w:type="dxa"/>
            <w:vMerge/>
            <w:shd w:val="clear" w:color="auto" w:fill="D9D9D9"/>
            <w:vAlign w:val="center"/>
          </w:tcPr>
          <w:p w14:paraId="6F5075B4"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7CC06815"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Department</w:t>
            </w:r>
          </w:p>
        </w:tc>
        <w:tc>
          <w:tcPr>
            <w:tcW w:w="6135" w:type="dxa"/>
            <w:gridSpan w:val="6"/>
            <w:shd w:val="clear" w:color="auto" w:fill="auto"/>
          </w:tcPr>
          <w:p w14:paraId="7C65EAD5" w14:textId="77777777" w:rsidR="00036C99" w:rsidRDefault="001F5511">
            <w:pPr>
              <w:pBdr>
                <w:top w:val="nil"/>
                <w:left w:val="nil"/>
                <w:bottom w:val="nil"/>
                <w:right w:val="nil"/>
                <w:between w:val="nil"/>
              </w:pBdr>
              <w:jc w:val="both"/>
              <w:rPr>
                <w:rFonts w:ascii="맑은 고딕" w:eastAsia="맑은 고딕" w:hAnsi="맑은 고딕" w:cs="맑은 고딕"/>
                <w:color w:val="000000"/>
              </w:rPr>
            </w:pPr>
            <w:r>
              <w:t>Department of Finance</w:t>
            </w:r>
          </w:p>
        </w:tc>
      </w:tr>
      <w:tr w:rsidR="00036C99" w14:paraId="4660AC67" w14:textId="77777777">
        <w:trPr>
          <w:trHeight w:val="101"/>
          <w:jc w:val="center"/>
        </w:trPr>
        <w:tc>
          <w:tcPr>
            <w:tcW w:w="1410" w:type="dxa"/>
            <w:vMerge/>
            <w:shd w:val="clear" w:color="auto" w:fill="D9D9D9"/>
            <w:vAlign w:val="center"/>
          </w:tcPr>
          <w:p w14:paraId="225FDE6F"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52E50A7C"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Homepage</w:t>
            </w:r>
          </w:p>
        </w:tc>
        <w:tc>
          <w:tcPr>
            <w:tcW w:w="6135" w:type="dxa"/>
            <w:gridSpan w:val="6"/>
            <w:shd w:val="clear" w:color="auto" w:fill="auto"/>
          </w:tcPr>
          <w:p w14:paraId="37D01FCC" w14:textId="77777777" w:rsidR="00036C99" w:rsidRDefault="009655EC">
            <w:pPr>
              <w:pBdr>
                <w:top w:val="nil"/>
                <w:left w:val="nil"/>
                <w:bottom w:val="nil"/>
                <w:right w:val="nil"/>
                <w:between w:val="nil"/>
              </w:pBdr>
              <w:jc w:val="both"/>
              <w:rPr>
                <w:rFonts w:ascii="맑은 고딕" w:eastAsia="맑은 고딕" w:hAnsi="맑은 고딕" w:cs="맑은 고딕"/>
                <w:color w:val="000000"/>
              </w:rPr>
            </w:pPr>
            <w:hyperlink r:id="rId7">
              <w:r w:rsidR="001F5511">
                <w:rPr>
                  <w:color w:val="1155CC"/>
                  <w:u w:val="single"/>
                </w:rPr>
                <w:t>https://sites.google.com/view/hyoungkang</w:t>
              </w:r>
            </w:hyperlink>
            <w:r w:rsidR="001F5511">
              <w:t xml:space="preserve"> </w:t>
            </w:r>
          </w:p>
        </w:tc>
      </w:tr>
      <w:tr w:rsidR="00036C99" w14:paraId="479A4E1F" w14:textId="77777777">
        <w:trPr>
          <w:trHeight w:val="101"/>
          <w:jc w:val="center"/>
        </w:trPr>
        <w:tc>
          <w:tcPr>
            <w:tcW w:w="1410" w:type="dxa"/>
            <w:vMerge w:val="restart"/>
            <w:shd w:val="clear" w:color="auto" w:fill="D9D9D9"/>
            <w:vAlign w:val="center"/>
          </w:tcPr>
          <w:p w14:paraId="05C2B65A" w14:textId="77777777" w:rsidR="00036C99" w:rsidRDefault="001F5511">
            <w:pPr>
              <w:pBdr>
                <w:top w:val="nil"/>
                <w:left w:val="nil"/>
                <w:bottom w:val="nil"/>
                <w:right w:val="nil"/>
                <w:between w:val="nil"/>
              </w:pBdr>
              <w:jc w:val="both"/>
              <w:rPr>
                <w:rFonts w:ascii="맑은 고딕" w:eastAsia="맑은 고딕" w:hAnsi="맑은 고딕" w:cs="맑은 고딕"/>
                <w:b/>
                <w:color w:val="000000"/>
              </w:rPr>
            </w:pPr>
            <w:r>
              <w:rPr>
                <w:rFonts w:ascii="맑은 고딕" w:eastAsia="맑은 고딕" w:hAnsi="맑은 고딕" w:cs="맑은 고딕"/>
                <w:b/>
                <w:color w:val="000000"/>
              </w:rPr>
              <w:t>Course Information</w:t>
            </w:r>
          </w:p>
        </w:tc>
        <w:tc>
          <w:tcPr>
            <w:tcW w:w="2265" w:type="dxa"/>
            <w:gridSpan w:val="2"/>
            <w:shd w:val="clear" w:color="auto" w:fill="EDEDED"/>
            <w:vAlign w:val="center"/>
          </w:tcPr>
          <w:p w14:paraId="19DA4063"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Class No.</w:t>
            </w:r>
          </w:p>
        </w:tc>
        <w:tc>
          <w:tcPr>
            <w:tcW w:w="1845" w:type="dxa"/>
            <w:shd w:val="clear" w:color="auto" w:fill="auto"/>
          </w:tcPr>
          <w:p w14:paraId="64E4D773" w14:textId="77777777" w:rsidR="00036C99" w:rsidRDefault="001F5511">
            <w:pPr>
              <w:pBdr>
                <w:top w:val="nil"/>
                <w:left w:val="nil"/>
                <w:bottom w:val="nil"/>
                <w:right w:val="nil"/>
                <w:between w:val="nil"/>
              </w:pBdr>
              <w:jc w:val="center"/>
              <w:rPr>
                <w:rFonts w:ascii="맑은 고딕" w:eastAsia="맑은 고딕" w:hAnsi="맑은 고딕" w:cs="맑은 고딕"/>
                <w:color w:val="000000"/>
              </w:rPr>
            </w:pPr>
            <w:r>
              <w:rPr>
                <w:rFonts w:ascii="맑은 고딕" w:eastAsia="맑은 고딕" w:hAnsi="맑은 고딕" w:cs="맑은 고딕"/>
              </w:rPr>
              <w:t>ISS1203</w:t>
            </w:r>
          </w:p>
        </w:tc>
        <w:tc>
          <w:tcPr>
            <w:tcW w:w="1320" w:type="dxa"/>
            <w:shd w:val="clear" w:color="auto" w:fill="EDEDED"/>
            <w:vAlign w:val="center"/>
          </w:tcPr>
          <w:p w14:paraId="3A2A4D8A"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Course Code</w:t>
            </w:r>
          </w:p>
        </w:tc>
        <w:tc>
          <w:tcPr>
            <w:tcW w:w="1215" w:type="dxa"/>
            <w:gridSpan w:val="2"/>
            <w:shd w:val="clear" w:color="auto" w:fill="auto"/>
          </w:tcPr>
          <w:p w14:paraId="03ED7D28" w14:textId="3AEBA12C" w:rsidR="00036C99" w:rsidRDefault="001F5511">
            <w:pPr>
              <w:pBdr>
                <w:top w:val="nil"/>
                <w:left w:val="nil"/>
                <w:bottom w:val="nil"/>
                <w:right w:val="nil"/>
                <w:between w:val="nil"/>
              </w:pBdr>
              <w:jc w:val="center"/>
              <w:rPr>
                <w:rFonts w:ascii="맑은 고딕" w:eastAsia="맑은 고딕" w:hAnsi="맑은 고딕" w:cs="맑은 고딕"/>
                <w:color w:val="000000"/>
              </w:rPr>
            </w:pPr>
            <w:r>
              <w:rPr>
                <w:rFonts w:ascii="맑은 고딕" w:eastAsia="맑은 고딕" w:hAnsi="맑은 고딕" w:cs="맑은 고딕" w:hint="eastAsia"/>
                <w:color w:val="000000"/>
              </w:rPr>
              <w:t>I</w:t>
            </w:r>
            <w:r>
              <w:rPr>
                <w:rFonts w:ascii="맑은 고딕" w:eastAsia="맑은 고딕" w:hAnsi="맑은 고딕" w:cs="맑은 고딕"/>
                <w:color w:val="000000"/>
              </w:rPr>
              <w:t>SS1203</w:t>
            </w:r>
          </w:p>
        </w:tc>
        <w:tc>
          <w:tcPr>
            <w:tcW w:w="1170" w:type="dxa"/>
            <w:shd w:val="clear" w:color="auto" w:fill="EDEDED"/>
            <w:vAlign w:val="center"/>
          </w:tcPr>
          <w:p w14:paraId="48E708B9"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Credits</w:t>
            </w:r>
          </w:p>
        </w:tc>
        <w:tc>
          <w:tcPr>
            <w:tcW w:w="585" w:type="dxa"/>
            <w:shd w:val="clear" w:color="auto" w:fill="auto"/>
            <w:vAlign w:val="center"/>
          </w:tcPr>
          <w:p w14:paraId="62468CF4" w14:textId="77777777" w:rsidR="00036C99" w:rsidRDefault="001F5511">
            <w:pPr>
              <w:pBdr>
                <w:top w:val="nil"/>
                <w:left w:val="nil"/>
                <w:bottom w:val="nil"/>
                <w:right w:val="nil"/>
                <w:between w:val="nil"/>
              </w:pBdr>
              <w:jc w:val="center"/>
              <w:rPr>
                <w:rFonts w:ascii="맑은 고딕" w:eastAsia="맑은 고딕" w:hAnsi="맑은 고딕" w:cs="맑은 고딕"/>
                <w:color w:val="000000"/>
              </w:rPr>
            </w:pPr>
            <w:r>
              <w:rPr>
                <w:rFonts w:ascii="맑은 고딕" w:eastAsia="맑은 고딕" w:hAnsi="맑은 고딕" w:cs="맑은 고딕"/>
                <w:color w:val="000000"/>
              </w:rPr>
              <w:t>3</w:t>
            </w:r>
          </w:p>
        </w:tc>
      </w:tr>
      <w:tr w:rsidR="00036C99" w14:paraId="609925C0" w14:textId="77777777">
        <w:trPr>
          <w:trHeight w:val="101"/>
          <w:jc w:val="center"/>
        </w:trPr>
        <w:tc>
          <w:tcPr>
            <w:tcW w:w="1410" w:type="dxa"/>
            <w:vMerge/>
            <w:shd w:val="clear" w:color="auto" w:fill="D9D9D9"/>
            <w:vAlign w:val="center"/>
          </w:tcPr>
          <w:p w14:paraId="05B3E12B"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60D1E34B"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Course Name</w:t>
            </w:r>
          </w:p>
        </w:tc>
        <w:tc>
          <w:tcPr>
            <w:tcW w:w="6135" w:type="dxa"/>
            <w:gridSpan w:val="6"/>
            <w:shd w:val="clear" w:color="auto" w:fill="auto"/>
          </w:tcPr>
          <w:p w14:paraId="6F09A8AF" w14:textId="77777777" w:rsidR="00036C99" w:rsidRDefault="001F5511">
            <w:pPr>
              <w:pBdr>
                <w:top w:val="nil"/>
                <w:left w:val="nil"/>
                <w:bottom w:val="nil"/>
                <w:right w:val="nil"/>
                <w:between w:val="nil"/>
              </w:pBdr>
              <w:jc w:val="center"/>
              <w:rPr>
                <w:rFonts w:ascii="맑은 고딕" w:eastAsia="맑은 고딕" w:hAnsi="맑은 고딕" w:cs="맑은 고딕"/>
                <w:color w:val="000000"/>
              </w:rPr>
            </w:pPr>
            <w:r>
              <w:t>Culture, Content, Creative Industry and Financial Strategies</w:t>
            </w:r>
          </w:p>
        </w:tc>
      </w:tr>
      <w:tr w:rsidR="00036C99" w14:paraId="3F9BBF5D" w14:textId="77777777">
        <w:trPr>
          <w:trHeight w:val="101"/>
          <w:jc w:val="center"/>
        </w:trPr>
        <w:tc>
          <w:tcPr>
            <w:tcW w:w="1410" w:type="dxa"/>
            <w:vMerge/>
            <w:shd w:val="clear" w:color="auto" w:fill="D9D9D9"/>
            <w:vAlign w:val="center"/>
          </w:tcPr>
          <w:p w14:paraId="6E4A3168"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2F5649E2"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Lecture Schedule</w:t>
            </w:r>
          </w:p>
        </w:tc>
        <w:tc>
          <w:tcPr>
            <w:tcW w:w="6135" w:type="dxa"/>
            <w:gridSpan w:val="6"/>
            <w:shd w:val="clear" w:color="auto" w:fill="auto"/>
          </w:tcPr>
          <w:p w14:paraId="1C5D3A8C" w14:textId="0EB1ACDA" w:rsidR="00036C99" w:rsidRDefault="001F5511">
            <w:pPr>
              <w:pBdr>
                <w:top w:val="nil"/>
                <w:left w:val="nil"/>
                <w:bottom w:val="nil"/>
                <w:right w:val="nil"/>
                <w:between w:val="nil"/>
              </w:pBdr>
              <w:jc w:val="center"/>
              <w:rPr>
                <w:rFonts w:ascii="맑은 고딕" w:eastAsia="맑은 고딕" w:hAnsi="맑은 고딕" w:cs="맑은 고딕"/>
                <w:color w:val="000000"/>
              </w:rPr>
            </w:pPr>
            <w:r>
              <w:rPr>
                <w:rFonts w:ascii="맑은 고딕" w:eastAsia="맑은 고딕" w:hAnsi="맑은 고딕" w:cs="맑은 고딕"/>
                <w:color w:val="000000"/>
              </w:rPr>
              <w:t>Mon-Fri / 09:00 ~ 12:00 &amp; 13:00~15:</w:t>
            </w:r>
            <w:r w:rsidR="009655EC">
              <w:rPr>
                <w:rFonts w:ascii="맑은 고딕" w:eastAsia="맑은 고딕" w:hAnsi="맑은 고딕" w:cs="맑은 고딕"/>
                <w:color w:val="000000"/>
              </w:rPr>
              <w:t>0</w:t>
            </w:r>
            <w:r>
              <w:rPr>
                <w:rFonts w:ascii="맑은 고딕" w:eastAsia="맑은 고딕" w:hAnsi="맑은 고딕" w:cs="맑은 고딕"/>
                <w:color w:val="000000"/>
              </w:rPr>
              <w:t>0</w:t>
            </w:r>
          </w:p>
        </w:tc>
      </w:tr>
      <w:tr w:rsidR="00036C99" w14:paraId="2873FF1D" w14:textId="77777777">
        <w:trPr>
          <w:trHeight w:val="246"/>
          <w:jc w:val="center"/>
        </w:trPr>
        <w:tc>
          <w:tcPr>
            <w:tcW w:w="1410" w:type="dxa"/>
            <w:vMerge/>
            <w:shd w:val="clear" w:color="auto" w:fill="D9D9D9"/>
            <w:vAlign w:val="center"/>
          </w:tcPr>
          <w:p w14:paraId="55091698"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58B4ADD1"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Course Description</w:t>
            </w:r>
          </w:p>
        </w:tc>
        <w:tc>
          <w:tcPr>
            <w:tcW w:w="6135" w:type="dxa"/>
            <w:gridSpan w:val="6"/>
            <w:shd w:val="clear" w:color="auto" w:fill="auto"/>
          </w:tcPr>
          <w:p w14:paraId="267D1AA5" w14:textId="77777777" w:rsidR="00036C99" w:rsidRDefault="001F5511">
            <w:r>
              <w:t>This course offers an interdisciplinary exploration of the dynamic intersection between cultural production, creative industries, and financial strategies. Students will engage with the principles and practices that drive the creation, distribution, and monetization of cultural content within the global economy. The course emphasizes the role of innovation and entrepreneurship in the creative industries, analyzing how cultural content is shaped by and, in turn, shapes economic frameworks. By integrating theoretical insights with practical financial strategies, students will develop the skills to navigate and influence the evolving landscape of creative industries.</w:t>
            </w:r>
          </w:p>
        </w:tc>
      </w:tr>
      <w:tr w:rsidR="00036C99" w14:paraId="64759F23" w14:textId="77777777">
        <w:trPr>
          <w:trHeight w:val="246"/>
          <w:jc w:val="center"/>
        </w:trPr>
        <w:tc>
          <w:tcPr>
            <w:tcW w:w="1410" w:type="dxa"/>
            <w:vMerge/>
            <w:shd w:val="clear" w:color="auto" w:fill="D9D9D9"/>
            <w:vAlign w:val="center"/>
          </w:tcPr>
          <w:p w14:paraId="050EC6D8"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22EEEEA3"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Course Objective</w:t>
            </w:r>
          </w:p>
        </w:tc>
        <w:tc>
          <w:tcPr>
            <w:tcW w:w="6135" w:type="dxa"/>
            <w:gridSpan w:val="6"/>
            <w:shd w:val="clear" w:color="auto" w:fill="auto"/>
          </w:tcPr>
          <w:p w14:paraId="4345B676" w14:textId="77777777" w:rsidR="00036C99" w:rsidRDefault="001F5511">
            <w:pPr>
              <w:rPr>
                <w:rFonts w:ascii="맑은 고딕" w:eastAsia="맑은 고딕" w:hAnsi="맑은 고딕" w:cs="맑은 고딕"/>
                <w:color w:val="000000"/>
              </w:rPr>
            </w:pPr>
            <w:r>
              <w:t>The objective of the course "Culture, Content, Creative Industry and Financial Strategies" is to equip students with a comprehensive understanding of the interrelations between cultural production, creative industries, and financial frameworks. Students will learn to critically analyze and apply financial strategies within the context of creative enterprises, fostering their ability to innovate, manage, and lead in the global creative economy. By the end of the course, students will be able to develop and implement effective financial strategies that support sustainable growth and success in various sectors of the creative industries, while also understanding the cultural and economic impacts of their decisions.</w:t>
            </w:r>
          </w:p>
        </w:tc>
      </w:tr>
      <w:tr w:rsidR="00036C99" w14:paraId="061F4347" w14:textId="77777777">
        <w:trPr>
          <w:trHeight w:val="246"/>
          <w:jc w:val="center"/>
        </w:trPr>
        <w:tc>
          <w:tcPr>
            <w:tcW w:w="1410" w:type="dxa"/>
            <w:vMerge/>
            <w:shd w:val="clear" w:color="auto" w:fill="D9D9D9"/>
            <w:vAlign w:val="center"/>
          </w:tcPr>
          <w:p w14:paraId="0F66EC7E"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7A8B4B07"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Prerequisite</w:t>
            </w:r>
          </w:p>
        </w:tc>
        <w:tc>
          <w:tcPr>
            <w:tcW w:w="6135" w:type="dxa"/>
            <w:gridSpan w:val="6"/>
            <w:shd w:val="clear" w:color="auto" w:fill="auto"/>
            <w:vAlign w:val="center"/>
          </w:tcPr>
          <w:p w14:paraId="4CCA40A8" w14:textId="77777777" w:rsidR="00036C99" w:rsidRDefault="001F5511">
            <w:pPr>
              <w:pBdr>
                <w:top w:val="nil"/>
                <w:left w:val="nil"/>
                <w:bottom w:val="nil"/>
                <w:right w:val="nil"/>
                <w:between w:val="nil"/>
              </w:pBdr>
              <w:jc w:val="both"/>
              <w:rPr>
                <w:rFonts w:ascii="맑은 고딕" w:eastAsia="맑은 고딕" w:hAnsi="맑은 고딕" w:cs="맑은 고딕"/>
                <w:color w:val="000000"/>
              </w:rPr>
            </w:pPr>
            <w:r>
              <w:rPr>
                <w:rFonts w:ascii="맑은 고딕" w:eastAsia="맑은 고딕" w:hAnsi="맑은 고딕" w:cs="맑은 고딕"/>
              </w:rPr>
              <w:t>NA</w:t>
            </w:r>
          </w:p>
        </w:tc>
      </w:tr>
      <w:tr w:rsidR="00036C99" w14:paraId="2A9B61EB" w14:textId="77777777">
        <w:trPr>
          <w:trHeight w:val="246"/>
          <w:jc w:val="center"/>
        </w:trPr>
        <w:tc>
          <w:tcPr>
            <w:tcW w:w="1410" w:type="dxa"/>
            <w:vMerge/>
            <w:shd w:val="clear" w:color="auto" w:fill="D9D9D9"/>
            <w:vAlign w:val="center"/>
          </w:tcPr>
          <w:p w14:paraId="7864B0E3"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49E2FA36"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Materials/Textbooks</w:t>
            </w:r>
          </w:p>
        </w:tc>
        <w:tc>
          <w:tcPr>
            <w:tcW w:w="6135" w:type="dxa"/>
            <w:gridSpan w:val="6"/>
            <w:shd w:val="clear" w:color="auto" w:fill="auto"/>
            <w:vAlign w:val="center"/>
          </w:tcPr>
          <w:p w14:paraId="23A5CC4D" w14:textId="77777777" w:rsidR="00036C99" w:rsidRDefault="001F5511">
            <w:pPr>
              <w:pBdr>
                <w:top w:val="nil"/>
                <w:left w:val="nil"/>
                <w:bottom w:val="nil"/>
                <w:right w:val="nil"/>
                <w:between w:val="nil"/>
              </w:pBdr>
              <w:jc w:val="both"/>
              <w:rPr>
                <w:rFonts w:ascii="맑은 고딕" w:eastAsia="맑은 고딕" w:hAnsi="맑은 고딕" w:cs="맑은 고딕"/>
                <w:color w:val="000000"/>
              </w:rPr>
            </w:pPr>
            <w:r>
              <w:rPr>
                <w:rFonts w:ascii="맑은 고딕" w:eastAsia="맑은 고딕" w:hAnsi="맑은 고딕" w:cs="맑은 고딕"/>
              </w:rPr>
              <w:t>Harvard Business Cases</w:t>
            </w:r>
          </w:p>
        </w:tc>
      </w:tr>
      <w:tr w:rsidR="00036C99" w14:paraId="7E9405ED" w14:textId="77777777">
        <w:trPr>
          <w:trHeight w:val="101"/>
          <w:jc w:val="center"/>
        </w:trPr>
        <w:tc>
          <w:tcPr>
            <w:tcW w:w="1410" w:type="dxa"/>
            <w:vMerge w:val="restart"/>
            <w:shd w:val="clear" w:color="auto" w:fill="D9D9D9"/>
            <w:vAlign w:val="center"/>
          </w:tcPr>
          <w:p w14:paraId="260833D6" w14:textId="77777777" w:rsidR="00036C99" w:rsidRDefault="001F5511">
            <w:pPr>
              <w:pBdr>
                <w:top w:val="nil"/>
                <w:left w:val="nil"/>
                <w:bottom w:val="nil"/>
                <w:right w:val="nil"/>
                <w:between w:val="nil"/>
              </w:pBdr>
              <w:jc w:val="both"/>
              <w:rPr>
                <w:rFonts w:ascii="맑은 고딕" w:eastAsia="맑은 고딕" w:hAnsi="맑은 고딕" w:cs="맑은 고딕"/>
                <w:b/>
                <w:color w:val="000000"/>
              </w:rPr>
            </w:pPr>
            <w:r>
              <w:rPr>
                <w:rFonts w:ascii="맑은 고딕" w:eastAsia="맑은 고딕" w:hAnsi="맑은 고딕" w:cs="맑은 고딕"/>
                <w:b/>
                <w:color w:val="000000"/>
              </w:rPr>
              <w:t>Evaluation</w:t>
            </w:r>
          </w:p>
        </w:tc>
        <w:tc>
          <w:tcPr>
            <w:tcW w:w="2265" w:type="dxa"/>
            <w:gridSpan w:val="2"/>
            <w:shd w:val="clear" w:color="auto" w:fill="EDEDED"/>
            <w:vAlign w:val="center"/>
          </w:tcPr>
          <w:p w14:paraId="23B96CD0"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Attendance</w:t>
            </w:r>
          </w:p>
        </w:tc>
        <w:tc>
          <w:tcPr>
            <w:tcW w:w="1845" w:type="dxa"/>
            <w:shd w:val="clear" w:color="auto" w:fill="auto"/>
          </w:tcPr>
          <w:p w14:paraId="1B9039C3"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rPr>
              <w:t>20</w:t>
            </w:r>
            <w:r>
              <w:rPr>
                <w:rFonts w:ascii="맑은 고딕" w:eastAsia="맑은 고딕" w:hAnsi="맑은 고딕" w:cs="맑은 고딕"/>
                <w:color w:val="000000"/>
              </w:rPr>
              <w:t>%</w:t>
            </w:r>
          </w:p>
        </w:tc>
        <w:tc>
          <w:tcPr>
            <w:tcW w:w="2145" w:type="dxa"/>
            <w:gridSpan w:val="2"/>
            <w:shd w:val="clear" w:color="auto" w:fill="EDEDED"/>
            <w:vAlign w:val="center"/>
          </w:tcPr>
          <w:p w14:paraId="0704AB49"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Quiz</w:t>
            </w:r>
          </w:p>
        </w:tc>
        <w:tc>
          <w:tcPr>
            <w:tcW w:w="2145" w:type="dxa"/>
            <w:gridSpan w:val="3"/>
            <w:shd w:val="clear" w:color="auto" w:fill="auto"/>
          </w:tcPr>
          <w:p w14:paraId="592BC0E5"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rPr>
              <w:t>0</w:t>
            </w:r>
            <w:r>
              <w:rPr>
                <w:rFonts w:ascii="맑은 고딕" w:eastAsia="맑은 고딕" w:hAnsi="맑은 고딕" w:cs="맑은 고딕"/>
                <w:color w:val="000000"/>
              </w:rPr>
              <w:t>%</w:t>
            </w:r>
          </w:p>
        </w:tc>
      </w:tr>
      <w:tr w:rsidR="00036C99" w14:paraId="531DCAD8" w14:textId="77777777">
        <w:trPr>
          <w:trHeight w:val="101"/>
          <w:jc w:val="center"/>
        </w:trPr>
        <w:tc>
          <w:tcPr>
            <w:tcW w:w="1410" w:type="dxa"/>
            <w:vMerge/>
            <w:shd w:val="clear" w:color="auto" w:fill="D9D9D9"/>
            <w:vAlign w:val="center"/>
          </w:tcPr>
          <w:p w14:paraId="0FB45527"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14337CFB"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Assignment</w:t>
            </w:r>
          </w:p>
        </w:tc>
        <w:tc>
          <w:tcPr>
            <w:tcW w:w="1845" w:type="dxa"/>
            <w:shd w:val="clear" w:color="auto" w:fill="auto"/>
          </w:tcPr>
          <w:p w14:paraId="164E6B6C"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rPr>
              <w:t>20</w:t>
            </w:r>
            <w:r>
              <w:rPr>
                <w:rFonts w:ascii="맑은 고딕" w:eastAsia="맑은 고딕" w:hAnsi="맑은 고딕" w:cs="맑은 고딕"/>
                <w:color w:val="000000"/>
              </w:rPr>
              <w:t>%</w:t>
            </w:r>
          </w:p>
        </w:tc>
        <w:tc>
          <w:tcPr>
            <w:tcW w:w="2145" w:type="dxa"/>
            <w:gridSpan w:val="2"/>
            <w:shd w:val="clear" w:color="auto" w:fill="EDEDED"/>
            <w:vAlign w:val="center"/>
          </w:tcPr>
          <w:p w14:paraId="597BD797"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Mid-term Exam</w:t>
            </w:r>
          </w:p>
        </w:tc>
        <w:tc>
          <w:tcPr>
            <w:tcW w:w="2145" w:type="dxa"/>
            <w:gridSpan w:val="3"/>
            <w:shd w:val="clear" w:color="auto" w:fill="auto"/>
          </w:tcPr>
          <w:p w14:paraId="7F0A8F06"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rPr>
              <w:t>20</w:t>
            </w:r>
            <w:r>
              <w:rPr>
                <w:rFonts w:ascii="맑은 고딕" w:eastAsia="맑은 고딕" w:hAnsi="맑은 고딕" w:cs="맑은 고딕"/>
                <w:color w:val="000000"/>
              </w:rPr>
              <w:t>%</w:t>
            </w:r>
          </w:p>
        </w:tc>
      </w:tr>
      <w:tr w:rsidR="00036C99" w14:paraId="14F94780" w14:textId="77777777">
        <w:trPr>
          <w:trHeight w:val="101"/>
          <w:jc w:val="center"/>
        </w:trPr>
        <w:tc>
          <w:tcPr>
            <w:tcW w:w="1410" w:type="dxa"/>
            <w:vMerge/>
            <w:shd w:val="clear" w:color="auto" w:fill="D9D9D9"/>
            <w:vAlign w:val="center"/>
          </w:tcPr>
          <w:p w14:paraId="38FBAF70"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2A8635E7"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Presentation</w:t>
            </w:r>
          </w:p>
        </w:tc>
        <w:tc>
          <w:tcPr>
            <w:tcW w:w="1845" w:type="dxa"/>
            <w:shd w:val="clear" w:color="auto" w:fill="auto"/>
          </w:tcPr>
          <w:p w14:paraId="79CEAD11"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rPr>
              <w:t>10</w:t>
            </w:r>
            <w:r>
              <w:rPr>
                <w:rFonts w:ascii="맑은 고딕" w:eastAsia="맑은 고딕" w:hAnsi="맑은 고딕" w:cs="맑은 고딕"/>
                <w:color w:val="000000"/>
              </w:rPr>
              <w:t>%</w:t>
            </w:r>
          </w:p>
        </w:tc>
        <w:tc>
          <w:tcPr>
            <w:tcW w:w="2145" w:type="dxa"/>
            <w:gridSpan w:val="2"/>
            <w:shd w:val="clear" w:color="auto" w:fill="EDEDED"/>
            <w:vAlign w:val="center"/>
          </w:tcPr>
          <w:p w14:paraId="08D25054"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Final Exam</w:t>
            </w:r>
          </w:p>
        </w:tc>
        <w:tc>
          <w:tcPr>
            <w:tcW w:w="2145" w:type="dxa"/>
            <w:gridSpan w:val="3"/>
            <w:shd w:val="clear" w:color="auto" w:fill="auto"/>
          </w:tcPr>
          <w:p w14:paraId="07605068"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rPr>
              <w:t>20</w:t>
            </w:r>
            <w:r>
              <w:rPr>
                <w:rFonts w:ascii="맑은 고딕" w:eastAsia="맑은 고딕" w:hAnsi="맑은 고딕" w:cs="맑은 고딕"/>
                <w:color w:val="000000"/>
              </w:rPr>
              <w:t>%</w:t>
            </w:r>
          </w:p>
        </w:tc>
      </w:tr>
      <w:tr w:rsidR="00036C99" w14:paraId="55C67B15" w14:textId="77777777">
        <w:trPr>
          <w:trHeight w:val="101"/>
          <w:jc w:val="center"/>
        </w:trPr>
        <w:tc>
          <w:tcPr>
            <w:tcW w:w="1410" w:type="dxa"/>
            <w:vMerge/>
            <w:shd w:val="clear" w:color="auto" w:fill="D9D9D9"/>
            <w:vAlign w:val="center"/>
          </w:tcPr>
          <w:p w14:paraId="3A38C94D"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shd w:val="clear" w:color="auto" w:fill="EDEDED"/>
            <w:vAlign w:val="center"/>
          </w:tcPr>
          <w:p w14:paraId="2F8F539C"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Group Project</w:t>
            </w:r>
          </w:p>
        </w:tc>
        <w:tc>
          <w:tcPr>
            <w:tcW w:w="1845" w:type="dxa"/>
            <w:shd w:val="clear" w:color="auto" w:fill="auto"/>
          </w:tcPr>
          <w:p w14:paraId="288749D6"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rPr>
              <w:t>0</w:t>
            </w:r>
            <w:r>
              <w:rPr>
                <w:rFonts w:ascii="맑은 고딕" w:eastAsia="맑은 고딕" w:hAnsi="맑은 고딕" w:cs="맑은 고딕"/>
                <w:color w:val="000000"/>
              </w:rPr>
              <w:t>%</w:t>
            </w:r>
          </w:p>
        </w:tc>
        <w:tc>
          <w:tcPr>
            <w:tcW w:w="2145" w:type="dxa"/>
            <w:gridSpan w:val="2"/>
            <w:shd w:val="clear" w:color="auto" w:fill="EDEDED"/>
            <w:vAlign w:val="center"/>
          </w:tcPr>
          <w:p w14:paraId="69285920"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Participation</w:t>
            </w:r>
          </w:p>
        </w:tc>
        <w:tc>
          <w:tcPr>
            <w:tcW w:w="2145" w:type="dxa"/>
            <w:gridSpan w:val="3"/>
            <w:shd w:val="clear" w:color="auto" w:fill="auto"/>
          </w:tcPr>
          <w:p w14:paraId="4BF01E48"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rPr>
              <w:t>10</w:t>
            </w:r>
            <w:r>
              <w:rPr>
                <w:rFonts w:ascii="맑은 고딕" w:eastAsia="맑은 고딕" w:hAnsi="맑은 고딕" w:cs="맑은 고딕"/>
                <w:color w:val="000000"/>
              </w:rPr>
              <w:t>%</w:t>
            </w:r>
          </w:p>
        </w:tc>
      </w:tr>
      <w:tr w:rsidR="00036C99" w14:paraId="5657D791" w14:textId="77777777">
        <w:trPr>
          <w:trHeight w:val="101"/>
          <w:jc w:val="center"/>
        </w:trPr>
        <w:tc>
          <w:tcPr>
            <w:tcW w:w="1410" w:type="dxa"/>
            <w:vMerge/>
            <w:shd w:val="clear" w:color="auto" w:fill="D9D9D9"/>
            <w:vAlign w:val="center"/>
          </w:tcPr>
          <w:p w14:paraId="3A6CC70C"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vMerge w:val="restart"/>
            <w:shd w:val="clear" w:color="auto" w:fill="EDEDED"/>
            <w:vAlign w:val="center"/>
          </w:tcPr>
          <w:p w14:paraId="7A1CD8D8"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Etc.</w:t>
            </w:r>
          </w:p>
        </w:tc>
        <w:tc>
          <w:tcPr>
            <w:tcW w:w="3990" w:type="dxa"/>
            <w:gridSpan w:val="3"/>
            <w:shd w:val="clear" w:color="auto" w:fill="EDEDED"/>
            <w:vAlign w:val="center"/>
          </w:tcPr>
          <w:p w14:paraId="3FB7CD3B"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Evaluation Item</w:t>
            </w:r>
          </w:p>
        </w:tc>
        <w:tc>
          <w:tcPr>
            <w:tcW w:w="2145" w:type="dxa"/>
            <w:gridSpan w:val="3"/>
            <w:shd w:val="clear" w:color="auto" w:fill="EDEDED"/>
            <w:vAlign w:val="center"/>
          </w:tcPr>
          <w:p w14:paraId="09492688"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Ratio</w:t>
            </w:r>
          </w:p>
        </w:tc>
      </w:tr>
      <w:tr w:rsidR="00036C99" w14:paraId="3E13F9A8" w14:textId="77777777">
        <w:trPr>
          <w:trHeight w:val="101"/>
          <w:jc w:val="center"/>
        </w:trPr>
        <w:tc>
          <w:tcPr>
            <w:tcW w:w="1410" w:type="dxa"/>
            <w:vMerge/>
            <w:shd w:val="clear" w:color="auto" w:fill="D9D9D9"/>
            <w:vAlign w:val="center"/>
          </w:tcPr>
          <w:p w14:paraId="02F5BD4E" w14:textId="77777777" w:rsidR="00036C99" w:rsidRDefault="00036C99">
            <w:pPr>
              <w:pBdr>
                <w:top w:val="nil"/>
                <w:left w:val="nil"/>
                <w:bottom w:val="nil"/>
                <w:right w:val="nil"/>
                <w:between w:val="nil"/>
              </w:pBdr>
              <w:spacing w:line="276" w:lineRule="auto"/>
              <w:rPr>
                <w:rFonts w:ascii="맑은 고딕" w:eastAsia="맑은 고딕" w:hAnsi="맑은 고딕" w:cs="맑은 고딕"/>
                <w:b/>
                <w:color w:val="000000"/>
              </w:rPr>
            </w:pPr>
          </w:p>
        </w:tc>
        <w:tc>
          <w:tcPr>
            <w:tcW w:w="2265" w:type="dxa"/>
            <w:gridSpan w:val="2"/>
            <w:vMerge/>
            <w:shd w:val="clear" w:color="auto" w:fill="EDEDED"/>
            <w:vAlign w:val="center"/>
          </w:tcPr>
          <w:p w14:paraId="286C14D5" w14:textId="77777777" w:rsidR="00036C99" w:rsidRDefault="00036C99">
            <w:pPr>
              <w:pBdr>
                <w:top w:val="nil"/>
                <w:left w:val="nil"/>
                <w:bottom w:val="nil"/>
                <w:right w:val="nil"/>
                <w:between w:val="nil"/>
              </w:pBdr>
              <w:spacing w:line="276" w:lineRule="auto"/>
              <w:rPr>
                <w:rFonts w:ascii="맑은 고딕" w:eastAsia="맑은 고딕" w:hAnsi="맑은 고딕" w:cs="맑은 고딕"/>
                <w:b/>
                <w:color w:val="000000"/>
              </w:rPr>
            </w:pPr>
          </w:p>
        </w:tc>
        <w:tc>
          <w:tcPr>
            <w:tcW w:w="3990" w:type="dxa"/>
            <w:gridSpan w:val="3"/>
            <w:shd w:val="clear" w:color="auto" w:fill="auto"/>
          </w:tcPr>
          <w:p w14:paraId="5567EB66" w14:textId="77777777" w:rsidR="00036C99" w:rsidRDefault="00036C99">
            <w:pPr>
              <w:pBdr>
                <w:top w:val="nil"/>
                <w:left w:val="nil"/>
                <w:bottom w:val="nil"/>
                <w:right w:val="nil"/>
                <w:between w:val="nil"/>
              </w:pBdr>
              <w:jc w:val="both"/>
              <w:rPr>
                <w:rFonts w:ascii="맑은 고딕" w:eastAsia="맑은 고딕" w:hAnsi="맑은 고딕" w:cs="맑은 고딕"/>
                <w:color w:val="000000"/>
              </w:rPr>
            </w:pPr>
          </w:p>
        </w:tc>
        <w:tc>
          <w:tcPr>
            <w:tcW w:w="2145" w:type="dxa"/>
            <w:gridSpan w:val="3"/>
            <w:shd w:val="clear" w:color="auto" w:fill="auto"/>
          </w:tcPr>
          <w:p w14:paraId="0EBE857E"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color w:val="000000"/>
              </w:rPr>
              <w:t>%</w:t>
            </w:r>
          </w:p>
        </w:tc>
      </w:tr>
      <w:tr w:rsidR="00036C99" w14:paraId="71D4CF05" w14:textId="77777777">
        <w:trPr>
          <w:trHeight w:val="101"/>
          <w:jc w:val="center"/>
        </w:trPr>
        <w:tc>
          <w:tcPr>
            <w:tcW w:w="1410" w:type="dxa"/>
            <w:vMerge/>
            <w:shd w:val="clear" w:color="auto" w:fill="D9D9D9"/>
            <w:vAlign w:val="center"/>
          </w:tcPr>
          <w:p w14:paraId="1F5D756E"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2265" w:type="dxa"/>
            <w:gridSpan w:val="2"/>
            <w:vMerge/>
            <w:shd w:val="clear" w:color="auto" w:fill="EDEDED"/>
            <w:vAlign w:val="center"/>
          </w:tcPr>
          <w:p w14:paraId="5F6EB6CE"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3990" w:type="dxa"/>
            <w:gridSpan w:val="3"/>
            <w:shd w:val="clear" w:color="auto" w:fill="auto"/>
          </w:tcPr>
          <w:p w14:paraId="3567DF5E" w14:textId="77777777" w:rsidR="00036C99" w:rsidRDefault="00036C99">
            <w:pPr>
              <w:pBdr>
                <w:top w:val="nil"/>
                <w:left w:val="nil"/>
                <w:bottom w:val="nil"/>
                <w:right w:val="nil"/>
                <w:between w:val="nil"/>
              </w:pBdr>
              <w:jc w:val="both"/>
              <w:rPr>
                <w:rFonts w:ascii="맑은 고딕" w:eastAsia="맑은 고딕" w:hAnsi="맑은 고딕" w:cs="맑은 고딕"/>
                <w:color w:val="000000"/>
              </w:rPr>
            </w:pPr>
          </w:p>
        </w:tc>
        <w:tc>
          <w:tcPr>
            <w:tcW w:w="2145" w:type="dxa"/>
            <w:gridSpan w:val="3"/>
            <w:shd w:val="clear" w:color="auto" w:fill="auto"/>
          </w:tcPr>
          <w:p w14:paraId="6CF0ED84" w14:textId="77777777" w:rsidR="00036C99" w:rsidRDefault="001F5511">
            <w:pPr>
              <w:pBdr>
                <w:top w:val="nil"/>
                <w:left w:val="nil"/>
                <w:bottom w:val="nil"/>
                <w:right w:val="nil"/>
                <w:between w:val="nil"/>
              </w:pBdr>
              <w:jc w:val="right"/>
              <w:rPr>
                <w:rFonts w:ascii="맑은 고딕" w:eastAsia="맑은 고딕" w:hAnsi="맑은 고딕" w:cs="맑은 고딕"/>
                <w:color w:val="000000"/>
              </w:rPr>
            </w:pPr>
            <w:r>
              <w:rPr>
                <w:rFonts w:ascii="맑은 고딕" w:eastAsia="맑은 고딕" w:hAnsi="맑은 고딕" w:cs="맑은 고딕"/>
                <w:color w:val="000000"/>
              </w:rPr>
              <w:t>%</w:t>
            </w:r>
          </w:p>
        </w:tc>
      </w:tr>
      <w:tr w:rsidR="00036C99" w14:paraId="5F3BAF3F" w14:textId="77777777">
        <w:trPr>
          <w:trHeight w:val="276"/>
          <w:jc w:val="center"/>
        </w:trPr>
        <w:tc>
          <w:tcPr>
            <w:tcW w:w="1410" w:type="dxa"/>
            <w:vMerge w:val="restart"/>
            <w:shd w:val="clear" w:color="auto" w:fill="D9D9D9"/>
            <w:vAlign w:val="center"/>
          </w:tcPr>
          <w:p w14:paraId="0C16EC94" w14:textId="77777777" w:rsidR="00036C99" w:rsidRDefault="001F5511">
            <w:pPr>
              <w:pBdr>
                <w:top w:val="nil"/>
                <w:left w:val="nil"/>
                <w:bottom w:val="nil"/>
                <w:right w:val="nil"/>
                <w:between w:val="nil"/>
              </w:pBdr>
              <w:jc w:val="both"/>
              <w:rPr>
                <w:rFonts w:ascii="맑은 고딕" w:eastAsia="맑은 고딕" w:hAnsi="맑은 고딕" w:cs="맑은 고딕"/>
                <w:b/>
                <w:color w:val="000000"/>
              </w:rPr>
            </w:pPr>
            <w:r>
              <w:rPr>
                <w:rFonts w:ascii="맑은 고딕" w:eastAsia="맑은 고딕" w:hAnsi="맑은 고딕" w:cs="맑은 고딕"/>
                <w:b/>
                <w:color w:val="000000"/>
              </w:rPr>
              <w:t xml:space="preserve">Daily </w:t>
            </w:r>
          </w:p>
          <w:p w14:paraId="667EA3AF" w14:textId="77777777" w:rsidR="00036C99" w:rsidRDefault="001F5511">
            <w:pPr>
              <w:pBdr>
                <w:top w:val="nil"/>
                <w:left w:val="nil"/>
                <w:bottom w:val="nil"/>
                <w:right w:val="nil"/>
                <w:between w:val="nil"/>
              </w:pBdr>
              <w:jc w:val="both"/>
              <w:rPr>
                <w:rFonts w:ascii="맑은 고딕" w:eastAsia="맑은 고딕" w:hAnsi="맑은 고딕" w:cs="맑은 고딕"/>
                <w:b/>
                <w:color w:val="000000"/>
              </w:rPr>
            </w:pPr>
            <w:r>
              <w:rPr>
                <w:rFonts w:ascii="맑은 고딕" w:eastAsia="맑은 고딕" w:hAnsi="맑은 고딕" w:cs="맑은 고딕"/>
                <w:b/>
                <w:color w:val="000000"/>
              </w:rPr>
              <w:t>Lecture Plan</w:t>
            </w:r>
          </w:p>
        </w:tc>
        <w:tc>
          <w:tcPr>
            <w:tcW w:w="1365" w:type="dxa"/>
            <w:shd w:val="clear" w:color="auto" w:fill="EDEDED"/>
            <w:vAlign w:val="center"/>
          </w:tcPr>
          <w:p w14:paraId="235A5A13"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Day 1</w:t>
            </w:r>
          </w:p>
        </w:tc>
        <w:tc>
          <w:tcPr>
            <w:tcW w:w="7035" w:type="dxa"/>
            <w:gridSpan w:val="7"/>
            <w:shd w:val="clear" w:color="auto" w:fill="auto"/>
          </w:tcPr>
          <w:p w14:paraId="5C3E5B26" w14:textId="77777777" w:rsidR="00036C99" w:rsidRDefault="001F5511">
            <w:pPr>
              <w:ind w:right="-116"/>
              <w:rPr>
                <w:rFonts w:ascii="맑은 고딕" w:eastAsia="맑은 고딕" w:hAnsi="맑은 고딕" w:cs="맑은 고딕"/>
              </w:rPr>
            </w:pPr>
            <w:r>
              <w:rPr>
                <w:rFonts w:ascii="맑은 고딕" w:eastAsia="맑은 고딕" w:hAnsi="맑은 고딕" w:cs="맑은 고딕"/>
              </w:rPr>
              <w:t>Introduction to the Course</w:t>
            </w:r>
          </w:p>
        </w:tc>
      </w:tr>
      <w:tr w:rsidR="00036C99" w14:paraId="191D4CE2" w14:textId="77777777">
        <w:trPr>
          <w:trHeight w:val="276"/>
          <w:jc w:val="center"/>
        </w:trPr>
        <w:tc>
          <w:tcPr>
            <w:tcW w:w="1410" w:type="dxa"/>
            <w:vMerge/>
            <w:shd w:val="clear" w:color="auto" w:fill="D9D9D9"/>
            <w:vAlign w:val="center"/>
          </w:tcPr>
          <w:p w14:paraId="0FBEFA0D"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1365" w:type="dxa"/>
            <w:shd w:val="clear" w:color="auto" w:fill="EDEDED"/>
            <w:vAlign w:val="center"/>
          </w:tcPr>
          <w:p w14:paraId="2C8B895C"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Day 2</w:t>
            </w:r>
          </w:p>
        </w:tc>
        <w:tc>
          <w:tcPr>
            <w:tcW w:w="7035" w:type="dxa"/>
            <w:gridSpan w:val="7"/>
            <w:shd w:val="clear" w:color="auto" w:fill="auto"/>
          </w:tcPr>
          <w:p w14:paraId="00215096" w14:textId="77777777" w:rsidR="00036C99" w:rsidRDefault="001F5511">
            <w:pPr>
              <w:ind w:right="-116"/>
              <w:rPr>
                <w:rFonts w:ascii="맑은 고딕" w:eastAsia="맑은 고딕" w:hAnsi="맑은 고딕" w:cs="맑은 고딕"/>
              </w:rPr>
            </w:pPr>
            <w:r>
              <w:rPr>
                <w:rFonts w:ascii="맑은 고딕" w:eastAsia="맑은 고딕" w:hAnsi="맑은 고딕" w:cs="맑은 고딕"/>
              </w:rPr>
              <w:t>Future and Economics of Movie Theaters and Streaming Services</w:t>
            </w:r>
          </w:p>
        </w:tc>
      </w:tr>
      <w:tr w:rsidR="00036C99" w14:paraId="2067E93A" w14:textId="77777777">
        <w:trPr>
          <w:trHeight w:val="276"/>
          <w:jc w:val="center"/>
        </w:trPr>
        <w:tc>
          <w:tcPr>
            <w:tcW w:w="1410" w:type="dxa"/>
            <w:vMerge/>
            <w:shd w:val="clear" w:color="auto" w:fill="D9D9D9"/>
            <w:vAlign w:val="center"/>
          </w:tcPr>
          <w:p w14:paraId="141B2B09"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1365" w:type="dxa"/>
            <w:shd w:val="clear" w:color="auto" w:fill="EDEDED"/>
            <w:vAlign w:val="center"/>
          </w:tcPr>
          <w:p w14:paraId="714EAB33"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 xml:space="preserve">Day 3 </w:t>
            </w:r>
          </w:p>
        </w:tc>
        <w:tc>
          <w:tcPr>
            <w:tcW w:w="7035" w:type="dxa"/>
            <w:gridSpan w:val="7"/>
            <w:shd w:val="clear" w:color="auto" w:fill="auto"/>
          </w:tcPr>
          <w:p w14:paraId="720AB8FE" w14:textId="77777777" w:rsidR="00036C99" w:rsidRDefault="001F5511">
            <w:pPr>
              <w:ind w:right="-116"/>
              <w:rPr>
                <w:rFonts w:ascii="맑은 고딕" w:eastAsia="맑은 고딕" w:hAnsi="맑은 고딕" w:cs="맑은 고딕"/>
              </w:rPr>
            </w:pPr>
            <w:r>
              <w:rPr>
                <w:rFonts w:ascii="맑은 고딕" w:eastAsia="맑은 고딕" w:hAnsi="맑은 고딕" w:cs="맑은 고딕"/>
              </w:rPr>
              <w:t>Business Models and Strategies in Entertainment and Media</w:t>
            </w:r>
          </w:p>
        </w:tc>
      </w:tr>
      <w:tr w:rsidR="00036C99" w14:paraId="6586EA31" w14:textId="77777777">
        <w:trPr>
          <w:trHeight w:val="276"/>
          <w:jc w:val="center"/>
        </w:trPr>
        <w:tc>
          <w:tcPr>
            <w:tcW w:w="1410" w:type="dxa"/>
            <w:vMerge/>
            <w:shd w:val="clear" w:color="auto" w:fill="D9D9D9"/>
            <w:vAlign w:val="center"/>
          </w:tcPr>
          <w:p w14:paraId="4D6B20C6"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1365" w:type="dxa"/>
            <w:shd w:val="clear" w:color="auto" w:fill="EDEDED"/>
            <w:vAlign w:val="center"/>
          </w:tcPr>
          <w:p w14:paraId="21D52971"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Day 4</w:t>
            </w:r>
          </w:p>
        </w:tc>
        <w:tc>
          <w:tcPr>
            <w:tcW w:w="7035" w:type="dxa"/>
            <w:gridSpan w:val="7"/>
            <w:shd w:val="clear" w:color="auto" w:fill="auto"/>
          </w:tcPr>
          <w:p w14:paraId="09A3A1E8" w14:textId="77777777" w:rsidR="00036C99" w:rsidRDefault="001F5511">
            <w:pPr>
              <w:ind w:right="-116"/>
              <w:rPr>
                <w:rFonts w:ascii="맑은 고딕" w:eastAsia="맑은 고딕" w:hAnsi="맑은 고딕" w:cs="맑은 고딕"/>
              </w:rPr>
            </w:pPr>
            <w:r>
              <w:rPr>
                <w:rFonts w:ascii="맑은 고딕" w:eastAsia="맑은 고딕" w:hAnsi="맑은 고딕" w:cs="맑은 고딕"/>
              </w:rPr>
              <w:t>Role of AI and Technology in Media and Entertainment</w:t>
            </w:r>
          </w:p>
        </w:tc>
      </w:tr>
      <w:tr w:rsidR="00036C99" w14:paraId="52A5900D" w14:textId="77777777">
        <w:trPr>
          <w:trHeight w:val="276"/>
          <w:jc w:val="center"/>
        </w:trPr>
        <w:tc>
          <w:tcPr>
            <w:tcW w:w="1410" w:type="dxa"/>
            <w:vMerge/>
            <w:shd w:val="clear" w:color="auto" w:fill="D9D9D9"/>
            <w:vAlign w:val="center"/>
          </w:tcPr>
          <w:p w14:paraId="03D33A63"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1365" w:type="dxa"/>
            <w:shd w:val="clear" w:color="auto" w:fill="EDEDED"/>
            <w:vAlign w:val="center"/>
          </w:tcPr>
          <w:p w14:paraId="5973A09C"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Day 5</w:t>
            </w:r>
          </w:p>
        </w:tc>
        <w:tc>
          <w:tcPr>
            <w:tcW w:w="7035" w:type="dxa"/>
            <w:gridSpan w:val="7"/>
            <w:shd w:val="clear" w:color="auto" w:fill="auto"/>
          </w:tcPr>
          <w:p w14:paraId="43E566CD" w14:textId="77777777" w:rsidR="00036C99" w:rsidRDefault="001F5511">
            <w:pPr>
              <w:ind w:right="-116"/>
              <w:rPr>
                <w:rFonts w:ascii="맑은 고딕" w:eastAsia="맑은 고딕" w:hAnsi="맑은 고딕" w:cs="맑은 고딕"/>
              </w:rPr>
            </w:pPr>
            <w:r>
              <w:rPr>
                <w:rFonts w:ascii="맑은 고딕" w:eastAsia="맑은 고딕" w:hAnsi="맑은 고딕" w:cs="맑은 고딕"/>
              </w:rPr>
              <w:t>Global Influence and Expansion of Entertainment</w:t>
            </w:r>
          </w:p>
        </w:tc>
      </w:tr>
      <w:tr w:rsidR="00036C99" w14:paraId="50B5D0F0" w14:textId="77777777">
        <w:trPr>
          <w:trHeight w:val="276"/>
          <w:jc w:val="center"/>
        </w:trPr>
        <w:tc>
          <w:tcPr>
            <w:tcW w:w="1410" w:type="dxa"/>
            <w:vMerge/>
            <w:shd w:val="clear" w:color="auto" w:fill="D9D9D9"/>
            <w:vAlign w:val="center"/>
          </w:tcPr>
          <w:p w14:paraId="34942ACD"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1365" w:type="dxa"/>
            <w:shd w:val="clear" w:color="auto" w:fill="EDEDED"/>
            <w:vAlign w:val="center"/>
          </w:tcPr>
          <w:p w14:paraId="333AB96A"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Day 6</w:t>
            </w:r>
          </w:p>
        </w:tc>
        <w:tc>
          <w:tcPr>
            <w:tcW w:w="7035" w:type="dxa"/>
            <w:gridSpan w:val="7"/>
            <w:shd w:val="clear" w:color="auto" w:fill="auto"/>
          </w:tcPr>
          <w:p w14:paraId="6EE7E129" w14:textId="77777777" w:rsidR="00036C99" w:rsidRDefault="001F5511">
            <w:pPr>
              <w:ind w:right="-116"/>
              <w:rPr>
                <w:rFonts w:ascii="맑은 고딕" w:eastAsia="맑은 고딕" w:hAnsi="맑은 고딕" w:cs="맑은 고딕"/>
              </w:rPr>
            </w:pPr>
            <w:r>
              <w:rPr>
                <w:rFonts w:ascii="맑은 고딕" w:eastAsia="맑은 고딕" w:hAnsi="맑은 고딕" w:cs="맑은 고딕"/>
              </w:rPr>
              <w:t>Art and Creativity in Business</w:t>
            </w:r>
          </w:p>
        </w:tc>
      </w:tr>
      <w:tr w:rsidR="00036C99" w14:paraId="7321ED03" w14:textId="77777777">
        <w:trPr>
          <w:trHeight w:val="276"/>
          <w:jc w:val="center"/>
        </w:trPr>
        <w:tc>
          <w:tcPr>
            <w:tcW w:w="1410" w:type="dxa"/>
            <w:vMerge/>
            <w:shd w:val="clear" w:color="auto" w:fill="D9D9D9"/>
            <w:vAlign w:val="center"/>
          </w:tcPr>
          <w:p w14:paraId="6A1D6884"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1365" w:type="dxa"/>
            <w:shd w:val="clear" w:color="auto" w:fill="EDEDED"/>
            <w:vAlign w:val="center"/>
          </w:tcPr>
          <w:p w14:paraId="053F8E49"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Day 7</w:t>
            </w:r>
          </w:p>
        </w:tc>
        <w:tc>
          <w:tcPr>
            <w:tcW w:w="7035" w:type="dxa"/>
            <w:gridSpan w:val="7"/>
            <w:shd w:val="clear" w:color="auto" w:fill="auto"/>
          </w:tcPr>
          <w:p w14:paraId="7242436F" w14:textId="77777777" w:rsidR="00036C99" w:rsidRDefault="001F5511">
            <w:pPr>
              <w:ind w:right="-116"/>
              <w:rPr>
                <w:rFonts w:ascii="맑은 고딕" w:eastAsia="맑은 고딕" w:hAnsi="맑은 고딕" w:cs="맑은 고딕"/>
              </w:rPr>
            </w:pPr>
            <w:r>
              <w:rPr>
                <w:rFonts w:ascii="맑은 고딕" w:eastAsia="맑은 고딕" w:hAnsi="맑은 고딕" w:cs="맑은 고딕"/>
              </w:rPr>
              <w:t>Sports and Data Analytics</w:t>
            </w:r>
          </w:p>
        </w:tc>
      </w:tr>
      <w:tr w:rsidR="00036C99" w14:paraId="0233220E" w14:textId="77777777">
        <w:trPr>
          <w:trHeight w:val="276"/>
          <w:jc w:val="center"/>
        </w:trPr>
        <w:tc>
          <w:tcPr>
            <w:tcW w:w="1410" w:type="dxa"/>
            <w:vMerge/>
            <w:shd w:val="clear" w:color="auto" w:fill="D9D9D9"/>
            <w:vAlign w:val="center"/>
          </w:tcPr>
          <w:p w14:paraId="778E774F"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1365" w:type="dxa"/>
            <w:shd w:val="clear" w:color="auto" w:fill="EDEDED"/>
            <w:vAlign w:val="center"/>
          </w:tcPr>
          <w:p w14:paraId="2F840F35"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Day 8</w:t>
            </w:r>
          </w:p>
        </w:tc>
        <w:tc>
          <w:tcPr>
            <w:tcW w:w="7035" w:type="dxa"/>
            <w:gridSpan w:val="7"/>
            <w:shd w:val="clear" w:color="auto" w:fill="auto"/>
          </w:tcPr>
          <w:p w14:paraId="78482151" w14:textId="77777777" w:rsidR="00036C99" w:rsidRDefault="001F5511">
            <w:pPr>
              <w:ind w:right="-116"/>
              <w:rPr>
                <w:rFonts w:ascii="맑은 고딕" w:eastAsia="맑은 고딕" w:hAnsi="맑은 고딕" w:cs="맑은 고딕"/>
              </w:rPr>
            </w:pPr>
            <w:r>
              <w:rPr>
                <w:rFonts w:ascii="맑은 고딕" w:eastAsia="맑은 고딕" w:hAnsi="맑은 고딕" w:cs="맑은 고딕"/>
              </w:rPr>
              <w:t>Music Industry and Economics</w:t>
            </w:r>
          </w:p>
        </w:tc>
      </w:tr>
      <w:tr w:rsidR="00036C99" w14:paraId="02D0ADCD" w14:textId="77777777">
        <w:trPr>
          <w:trHeight w:val="276"/>
          <w:jc w:val="center"/>
        </w:trPr>
        <w:tc>
          <w:tcPr>
            <w:tcW w:w="1410" w:type="dxa"/>
            <w:vMerge/>
            <w:shd w:val="clear" w:color="auto" w:fill="D9D9D9"/>
            <w:vAlign w:val="center"/>
          </w:tcPr>
          <w:p w14:paraId="7EAE2FD9" w14:textId="77777777" w:rsidR="00036C99" w:rsidRDefault="00036C99">
            <w:pPr>
              <w:pBdr>
                <w:top w:val="nil"/>
                <w:left w:val="nil"/>
                <w:bottom w:val="nil"/>
                <w:right w:val="nil"/>
                <w:between w:val="nil"/>
              </w:pBdr>
              <w:spacing w:line="276" w:lineRule="auto"/>
              <w:rPr>
                <w:rFonts w:ascii="맑은 고딕" w:eastAsia="맑은 고딕" w:hAnsi="맑은 고딕" w:cs="맑은 고딕"/>
                <w:color w:val="000000"/>
              </w:rPr>
            </w:pPr>
          </w:p>
        </w:tc>
        <w:tc>
          <w:tcPr>
            <w:tcW w:w="1365" w:type="dxa"/>
            <w:shd w:val="clear" w:color="auto" w:fill="EDEDED"/>
            <w:vAlign w:val="center"/>
          </w:tcPr>
          <w:p w14:paraId="7B6EA3F2" w14:textId="77777777" w:rsidR="00036C99" w:rsidRDefault="001F5511">
            <w:pPr>
              <w:pBdr>
                <w:top w:val="nil"/>
                <w:left w:val="nil"/>
                <w:bottom w:val="nil"/>
                <w:right w:val="nil"/>
                <w:between w:val="nil"/>
              </w:pBdr>
              <w:jc w:val="center"/>
              <w:rPr>
                <w:rFonts w:ascii="맑은 고딕" w:eastAsia="맑은 고딕" w:hAnsi="맑은 고딕" w:cs="맑은 고딕"/>
                <w:b/>
                <w:color w:val="000000"/>
              </w:rPr>
            </w:pPr>
            <w:r>
              <w:rPr>
                <w:rFonts w:ascii="맑은 고딕" w:eastAsia="맑은 고딕" w:hAnsi="맑은 고딕" w:cs="맑은 고딕"/>
                <w:b/>
                <w:color w:val="000000"/>
              </w:rPr>
              <w:t>Day 9</w:t>
            </w:r>
          </w:p>
        </w:tc>
        <w:tc>
          <w:tcPr>
            <w:tcW w:w="7035" w:type="dxa"/>
            <w:gridSpan w:val="7"/>
            <w:shd w:val="clear" w:color="auto" w:fill="auto"/>
          </w:tcPr>
          <w:p w14:paraId="5E948574" w14:textId="77777777" w:rsidR="00036C99" w:rsidRDefault="001F5511">
            <w:pPr>
              <w:ind w:right="-116"/>
              <w:rPr>
                <w:rFonts w:ascii="맑은 고딕" w:eastAsia="맑은 고딕" w:hAnsi="맑은 고딕" w:cs="맑은 고딕"/>
              </w:rPr>
            </w:pPr>
            <w:r>
              <w:rPr>
                <w:rFonts w:ascii="맑은 고딕" w:eastAsia="맑은 고딕" w:hAnsi="맑은 고딕" w:cs="맑은 고딕"/>
              </w:rPr>
              <w:t>Consumer Engagement and Pricing Strategies</w:t>
            </w:r>
          </w:p>
        </w:tc>
      </w:tr>
    </w:tbl>
    <w:p w14:paraId="1AA85237" w14:textId="77777777" w:rsidR="00036C99" w:rsidRDefault="00036C99">
      <w:pPr>
        <w:pBdr>
          <w:top w:val="nil"/>
          <w:left w:val="nil"/>
          <w:bottom w:val="nil"/>
          <w:right w:val="nil"/>
          <w:between w:val="nil"/>
        </w:pBdr>
        <w:jc w:val="both"/>
        <w:rPr>
          <w:rFonts w:ascii="맑은 고딕" w:eastAsia="맑은 고딕" w:hAnsi="맑은 고딕" w:cs="맑은 고딕"/>
          <w:sz w:val="14"/>
          <w:szCs w:val="14"/>
        </w:rPr>
      </w:pPr>
    </w:p>
    <w:p w14:paraId="4666B910" w14:textId="77777777" w:rsidR="00036C99" w:rsidRDefault="001F5511">
      <w:r>
        <w:t>Appendix: Detailed Plan</w:t>
      </w:r>
    </w:p>
    <w:p w14:paraId="6DD66451" w14:textId="77777777" w:rsidR="00036C99" w:rsidRDefault="00036C99"/>
    <w:p w14:paraId="54D35888" w14:textId="77777777" w:rsidR="00036C99" w:rsidRDefault="001F5511">
      <w:r>
        <w:t>1. Future and Economics of Movie Theaters and Streaming Services</w:t>
      </w:r>
    </w:p>
    <w:p w14:paraId="4AF842D4" w14:textId="77777777" w:rsidR="00036C99" w:rsidRDefault="001F5511">
      <w:r>
        <w:t>- Will Movie Theaters Survive When Audiences Can Stream New Releases?</w:t>
      </w:r>
    </w:p>
    <w:p w14:paraId="3128AEA9" w14:textId="77777777" w:rsidR="00036C99" w:rsidRDefault="001F5511">
      <w:r>
        <w:t>- The battle for consumers’ attention (economist.com)</w:t>
      </w:r>
    </w:p>
    <w:p w14:paraId="00C1559A" w14:textId="77777777" w:rsidR="00036C99" w:rsidRDefault="001F5511">
      <w:r>
        <w:t>- Does Original Content Help Streaming Services Attract More Subscribers?</w:t>
      </w:r>
    </w:p>
    <w:p w14:paraId="13FD9E02" w14:textId="77777777" w:rsidR="00036C99" w:rsidRDefault="001F5511">
      <w:r>
        <w:t>- Tackling the Problem of Subscribers Who Binge...Then Bail</w:t>
      </w:r>
    </w:p>
    <w:p w14:paraId="03A37AE3" w14:textId="77777777" w:rsidR="00036C99" w:rsidRDefault="001F5511">
      <w:r>
        <w:t>- The economics of streaming is changing pop songs (economist.com)</w:t>
      </w:r>
    </w:p>
    <w:p w14:paraId="31AE125F" w14:textId="77777777" w:rsidR="00036C99" w:rsidRDefault="00036C99"/>
    <w:p w14:paraId="7E0395AC" w14:textId="77777777" w:rsidR="00036C99" w:rsidRDefault="001F5511">
      <w:r>
        <w:t>2. Business Models and Strategies in Entertainment and Media</w:t>
      </w:r>
    </w:p>
    <w:p w14:paraId="6A91D0CB" w14:textId="77777777" w:rsidR="00036C99" w:rsidRDefault="001F5511">
      <w:r>
        <w:t>- Marvel's Blockbuster Machine</w:t>
      </w:r>
    </w:p>
    <w:p w14:paraId="7703F427" w14:textId="77777777" w:rsidR="00036C99" w:rsidRDefault="001F5511">
      <w:r>
        <w:t>- How Marvel Went from Bankruptcy to $4B Buyout</w:t>
      </w:r>
    </w:p>
    <w:p w14:paraId="6DBA7866" w14:textId="77777777" w:rsidR="00036C99" w:rsidRDefault="001F5511">
      <w:r>
        <w:t>- Why Every Company Needs to Think Like an Entertainment Company</w:t>
      </w:r>
    </w:p>
    <w:p w14:paraId="25A9C131" w14:textId="77777777" w:rsidR="00036C99" w:rsidRDefault="001F5511">
      <w:r>
        <w:t>- Lessons from Hollywood's Digital Transformation</w:t>
      </w:r>
    </w:p>
    <w:p w14:paraId="7C652A12" w14:textId="77777777" w:rsidR="00036C99" w:rsidRDefault="001F5511">
      <w:r>
        <w:t>- Adapting to Digital Disruption</w:t>
      </w:r>
    </w:p>
    <w:p w14:paraId="500BFA5C" w14:textId="77777777" w:rsidR="00036C99" w:rsidRDefault="001F5511">
      <w:r>
        <w:t>- Disney weighs options for TV networks as cord-cutting accelerates | Financial Times (ft.com)</w:t>
      </w:r>
    </w:p>
    <w:p w14:paraId="76908525" w14:textId="77777777" w:rsidR="00036C99" w:rsidRDefault="001F5511">
      <w:r>
        <w:t>- The future of entertainment (economist.com)</w:t>
      </w:r>
    </w:p>
    <w:p w14:paraId="2150C199" w14:textId="77777777" w:rsidR="00036C99" w:rsidRDefault="00036C99"/>
    <w:p w14:paraId="321FC673" w14:textId="77777777" w:rsidR="00036C99" w:rsidRDefault="001F5511">
      <w:r>
        <w:t>3. Role of AI and Technology in Media and Entertainment</w:t>
      </w:r>
    </w:p>
    <w:p w14:paraId="080D08A4" w14:textId="77777777" w:rsidR="00036C99" w:rsidRDefault="001F5511">
      <w:r>
        <w:t>- The Impact of Generative AI on Hollywood and Entertainment</w:t>
      </w:r>
    </w:p>
    <w:p w14:paraId="77112D67" w14:textId="77777777" w:rsidR="00036C99" w:rsidRDefault="001F5511">
      <w:r>
        <w:t>- Some Barclays analysts explain “why Hollywood writers misunderstand the role of AI in content creation” | Financial Times (ft.com)</w:t>
      </w:r>
    </w:p>
    <w:p w14:paraId="6907C09A" w14:textId="77777777" w:rsidR="00036C99" w:rsidRDefault="001F5511">
      <w:r>
        <w:t>- Writers vs AI bots is more than a Hollywood drama | Financial Times (ft.com)</w:t>
      </w:r>
    </w:p>
    <w:p w14:paraId="6974BB45" w14:textId="77777777" w:rsidR="00036C99" w:rsidRDefault="001F5511">
      <w:r>
        <w:t>- AI’s sudden big leap forward into usefulness | Financial Times (ft.com)</w:t>
      </w:r>
    </w:p>
    <w:p w14:paraId="3E41326A" w14:textId="77777777" w:rsidR="00036C99" w:rsidRDefault="001F5511">
      <w:r>
        <w:t>- Blockchain Could Help Artists Profit More from Their Creative Works</w:t>
      </w:r>
    </w:p>
    <w:p w14:paraId="6637D902" w14:textId="77777777" w:rsidR="00036C99" w:rsidRDefault="001F5511">
      <w:r>
        <w:t>- Blockchain Is Changing How Media and Entertainment Companies Compete</w:t>
      </w:r>
    </w:p>
    <w:p w14:paraId="078D0D07" w14:textId="77777777" w:rsidR="00036C99" w:rsidRDefault="00036C99"/>
    <w:p w14:paraId="49397D37" w14:textId="77777777" w:rsidR="00036C99" w:rsidRDefault="001F5511">
      <w:r>
        <w:t>4. Global Influence and Expansion of Entertainment</w:t>
      </w:r>
    </w:p>
    <w:p w14:paraId="3D857F3F" w14:textId="77777777" w:rsidR="00036C99" w:rsidRDefault="001F5511">
      <w:r>
        <w:t>- How Netflix Expanded to 190 Countries in 7 Years</w:t>
      </w:r>
    </w:p>
    <w:p w14:paraId="456F6CAD" w14:textId="77777777" w:rsidR="00036C99" w:rsidRDefault="001F5511">
      <w:r>
        <w:t>- K-Pop's Global Success Didn't Happen by Accident</w:t>
      </w:r>
    </w:p>
    <w:p w14:paraId="5EA90C0D" w14:textId="77777777" w:rsidR="00036C99" w:rsidRDefault="001F5511">
      <w:r>
        <w:t>- Big Hit Entertainment and Blockbuster Band BTS: K-Pop Goes Global</w:t>
      </w:r>
    </w:p>
    <w:p w14:paraId="16403B72" w14:textId="77777777" w:rsidR="00036C99" w:rsidRDefault="001F5511">
      <w:r>
        <w:t>- SM Entertainment (By: Mooweon Rhee, Sang-Hoon Kim, William Barnett)</w:t>
      </w:r>
    </w:p>
    <w:p w14:paraId="39354D65" w14:textId="77777777" w:rsidR="00036C99" w:rsidRDefault="00036C99"/>
    <w:p w14:paraId="4CE6F262" w14:textId="77777777" w:rsidR="00036C99" w:rsidRDefault="001F5511">
      <w:r>
        <w:t>5. Art and Creativity in Business</w:t>
      </w:r>
    </w:p>
    <w:p w14:paraId="52ED7982" w14:textId="77777777" w:rsidR="00036C99" w:rsidRDefault="001F5511">
      <w:r>
        <w:t>- Career Crush: What Does It Take to Be a Freelance Artist?</w:t>
      </w:r>
    </w:p>
    <w:p w14:paraId="7B5B5D3E" w14:textId="77777777" w:rsidR="00036C99" w:rsidRDefault="001F5511">
      <w:r>
        <w:t>- How Artists Can Transition into the Business World</w:t>
      </w:r>
    </w:p>
    <w:p w14:paraId="7B151EBD" w14:textId="77777777" w:rsidR="00036C99" w:rsidRDefault="001F5511">
      <w:r>
        <w:t>- Cirque du Soleil's Daniel Lamarre on How to Put Creativity at the Center of Your Strategy</w:t>
      </w:r>
    </w:p>
    <w:p w14:paraId="74492561" w14:textId="77777777" w:rsidR="00036C99" w:rsidRDefault="001F5511">
      <w:r>
        <w:t>- Generative AI should pay human artists for training | Financial Times (ft.com)</w:t>
      </w:r>
    </w:p>
    <w:p w14:paraId="352BE9A8" w14:textId="77777777" w:rsidR="00036C99" w:rsidRDefault="00036C99"/>
    <w:p w14:paraId="70AFAFC4" w14:textId="77777777" w:rsidR="00036C99" w:rsidRDefault="001F5511">
      <w:r>
        <w:t>6. Sports and Data Analytics</w:t>
      </w:r>
    </w:p>
    <w:p w14:paraId="1EF6D4F6" w14:textId="77777777" w:rsidR="00036C99" w:rsidRDefault="001F5511">
      <w:r>
        <w:t>- Lessons from sports to compete with AI</w:t>
      </w:r>
    </w:p>
    <w:p w14:paraId="7E54A46D" w14:textId="77777777" w:rsidR="00036C99" w:rsidRDefault="001F5511">
      <w:r>
        <w:t>- What Baseball Can Teach You About Using Data to Improve Yourself</w:t>
      </w:r>
    </w:p>
    <w:p w14:paraId="1034D93E" w14:textId="77777777" w:rsidR="00036C99" w:rsidRDefault="001F5511">
      <w:r>
        <w:t>- A Sports Analogy for Understanding Different Ways to Use AI</w:t>
      </w:r>
    </w:p>
    <w:p w14:paraId="567EEBE0" w14:textId="77777777" w:rsidR="00036C99" w:rsidRDefault="001F5511">
      <w:r>
        <w:t>- Lessons on Customer Engagement from Fan Controlled Football</w:t>
      </w:r>
    </w:p>
    <w:p w14:paraId="5E2BCDBC" w14:textId="77777777" w:rsidR="00036C99" w:rsidRDefault="001F5511">
      <w:r>
        <w:t>- Pro Sports Has a Piracy Problem</w:t>
      </w:r>
    </w:p>
    <w:p w14:paraId="51808B93" w14:textId="77777777" w:rsidR="00036C99" w:rsidRDefault="001F5511">
      <w:r>
        <w:t>- Will AI Replace the Front Office in Pro Sports?</w:t>
      </w:r>
    </w:p>
    <w:p w14:paraId="4B775DEB" w14:textId="77777777" w:rsidR="00036C99" w:rsidRDefault="001F5511">
      <w:r>
        <w:t>- The financial engineers behind Shohei Ohtani’s $700mn mega-contract https://on.ft.com/481wi4q (real option contract)</w:t>
      </w:r>
    </w:p>
    <w:p w14:paraId="3D5AE034" w14:textId="77777777" w:rsidR="00036C99" w:rsidRDefault="00036C99"/>
    <w:p w14:paraId="625810F1" w14:textId="77777777" w:rsidR="00036C99" w:rsidRDefault="001F5511">
      <w:r>
        <w:t>7. Music Industry and Economics</w:t>
      </w:r>
    </w:p>
    <w:p w14:paraId="678ED686" w14:textId="77777777" w:rsidR="00036C99" w:rsidRDefault="001F5511">
      <w:r>
        <w:t>- What the music industry reveals about economics https://www.economist.com/books-and-arts/2019/06/22/what-the-music-industry-reveals-about-economics</w:t>
      </w:r>
    </w:p>
    <w:p w14:paraId="6DC8BEE0" w14:textId="77777777" w:rsidR="00036C99" w:rsidRDefault="001F5511">
      <w:r>
        <w:t>- The incredible resilience of the music industry | Financial Times</w:t>
      </w:r>
    </w:p>
    <w:p w14:paraId="494F7C4E" w14:textId="77777777" w:rsidR="00036C99" w:rsidRDefault="001F5511">
      <w:r>
        <w:t>- A new generation of music-making algorithms is here https://www.economist.com/science-and-technology/2024/03/21/a-new-generation-of-music-making-algorithms-is-here</w:t>
      </w:r>
    </w:p>
    <w:p w14:paraId="09608997" w14:textId="77777777" w:rsidR="00036C99" w:rsidRDefault="001F5511">
      <w:r>
        <w:t>- How Spotify and TikTok Beat Their Copycats</w:t>
      </w:r>
    </w:p>
    <w:p w14:paraId="578B23BF" w14:textId="77777777" w:rsidR="00036C99" w:rsidRDefault="001F5511">
      <w:r>
        <w:t>- Apple, Spotify, and the Battle over Freemium</w:t>
      </w:r>
    </w:p>
    <w:p w14:paraId="0FE73194" w14:textId="77777777" w:rsidR="00036C99" w:rsidRDefault="001F5511">
      <w:r>
        <w:lastRenderedPageBreak/>
        <w:t>- [Taylornomics] How to get rich (Taylor’s version) (economist.com)</w:t>
      </w:r>
    </w:p>
    <w:p w14:paraId="3365B06A" w14:textId="77777777" w:rsidR="00036C99" w:rsidRDefault="00036C99"/>
    <w:p w14:paraId="5F2DAE71" w14:textId="77777777" w:rsidR="00036C99" w:rsidRDefault="001F5511">
      <w:r>
        <w:t>8. Consumer Engagement and Pricing Strategies</w:t>
      </w:r>
    </w:p>
    <w:p w14:paraId="768A2061" w14:textId="77777777" w:rsidR="00036C99" w:rsidRDefault="001F5511">
      <w:r>
        <w:t>- Netflix and the Economics of Bundling</w:t>
      </w:r>
    </w:p>
    <w:p w14:paraId="2C0928B1" w14:textId="77777777" w:rsidR="00036C99" w:rsidRDefault="001F5511">
      <w:r>
        <w:t>- Why I'm Happy Netflix Raised Its Prices</w:t>
      </w:r>
    </w:p>
    <w:p w14:paraId="766AE716" w14:textId="77777777" w:rsidR="00036C99" w:rsidRDefault="001F5511">
      <w:r>
        <w:t>- Amazon to join peers with ads on streaming services | Financial Times</w:t>
      </w:r>
    </w:p>
    <w:p w14:paraId="7E30408F" w14:textId="77777777" w:rsidR="00036C99" w:rsidRDefault="001F5511">
      <w:r>
        <w:t>- Of Course Disney Should Use Surge Pricing at Its Theme Parks</w:t>
      </w:r>
    </w:p>
    <w:p w14:paraId="1C299AAC" w14:textId="77777777" w:rsidR="00036C99" w:rsidRDefault="001F5511">
      <w:r>
        <w:t>- The rise of surge pricing: ‘It will eventually be everywhere’ | Financial Times (ft.com)</w:t>
      </w:r>
    </w:p>
    <w:p w14:paraId="031F818B" w14:textId="77777777" w:rsidR="00036C99" w:rsidRDefault="001F5511">
      <w:r>
        <w:t>- Why Is Every Streaming Service Using the Same Pricing Model?</w:t>
      </w:r>
    </w:p>
    <w:p w14:paraId="6AB968CA" w14:textId="77777777" w:rsidR="00036C99" w:rsidRDefault="001F5511">
      <w:r>
        <w:t>- Pro Sports Has a Piracy Problem</w:t>
      </w:r>
    </w:p>
    <w:p w14:paraId="65F60F89" w14:textId="77777777" w:rsidR="00036C99" w:rsidRDefault="001F5511">
      <w:r>
        <w:t>- Will AI Replace the Front Office in Pro Sports?</w:t>
      </w:r>
    </w:p>
    <w:p w14:paraId="2BBED8CE" w14:textId="77777777" w:rsidR="00036C99" w:rsidRDefault="001F5511">
      <w:r>
        <w:t>- The financial engineers behind Shohei Ohtani’s $700mn mega-contract https://on.ft.com/481wi4q (real option contract)</w:t>
      </w:r>
    </w:p>
    <w:p w14:paraId="53902F1A" w14:textId="77777777" w:rsidR="00036C99" w:rsidRDefault="00036C99"/>
    <w:p w14:paraId="5D6BD13C" w14:textId="77777777" w:rsidR="00036C99" w:rsidRDefault="00036C99">
      <w:pPr>
        <w:pBdr>
          <w:top w:val="nil"/>
          <w:left w:val="nil"/>
          <w:bottom w:val="nil"/>
          <w:right w:val="nil"/>
          <w:between w:val="nil"/>
        </w:pBdr>
        <w:jc w:val="both"/>
        <w:rPr>
          <w:rFonts w:ascii="맑은 고딕" w:eastAsia="맑은 고딕" w:hAnsi="맑은 고딕" w:cs="맑은 고딕"/>
          <w:sz w:val="14"/>
          <w:szCs w:val="14"/>
        </w:rPr>
      </w:pPr>
    </w:p>
    <w:sectPr w:rsidR="00036C99">
      <w:headerReference w:type="default" r:id="rId8"/>
      <w:headerReference w:type="first" r:id="rId9"/>
      <w:pgSz w:w="11906" w:h="16838"/>
      <w:pgMar w:top="720" w:right="720" w:bottom="720" w:left="720" w:header="851"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95FA" w14:textId="77777777" w:rsidR="001773F0" w:rsidRDefault="001F5511">
      <w:r>
        <w:separator/>
      </w:r>
    </w:p>
  </w:endnote>
  <w:endnote w:type="continuationSeparator" w:id="0">
    <w:p w14:paraId="7297E95C" w14:textId="77777777" w:rsidR="001773F0" w:rsidRDefault="001F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6CE01" w14:textId="77777777" w:rsidR="001773F0" w:rsidRDefault="001F5511">
      <w:r>
        <w:separator/>
      </w:r>
    </w:p>
  </w:footnote>
  <w:footnote w:type="continuationSeparator" w:id="0">
    <w:p w14:paraId="758FFC2F" w14:textId="77777777" w:rsidR="001773F0" w:rsidRDefault="001F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032F" w14:textId="77777777" w:rsidR="00036C99" w:rsidRDefault="001F5511">
    <w:pPr>
      <w:pBdr>
        <w:top w:val="nil"/>
        <w:left w:val="nil"/>
        <w:bottom w:val="nil"/>
        <w:right w:val="nil"/>
        <w:between w:val="nil"/>
      </w:pBdr>
      <w:tabs>
        <w:tab w:val="center" w:pos="4513"/>
        <w:tab w:val="right" w:pos="9026"/>
      </w:tabs>
      <w:spacing w:after="160" w:line="259" w:lineRule="auto"/>
      <w:jc w:val="right"/>
      <w:rPr>
        <w:rFonts w:ascii="맑은 고딕" w:eastAsia="맑은 고딕" w:hAnsi="맑은 고딕" w:cs="맑은 고딕"/>
        <w:color w:val="000000"/>
      </w:rPr>
    </w:pPr>
    <w:r>
      <w:rPr>
        <w:rFonts w:ascii="맑은 고딕" w:eastAsia="맑은 고딕" w:hAnsi="맑은 고딕" w:cs="맑은 고딕"/>
        <w:noProof/>
        <w:color w:val="000000"/>
        <w:sz w:val="24"/>
        <w:szCs w:val="24"/>
      </w:rPr>
      <w:drawing>
        <wp:inline distT="0" distB="0" distL="0" distR="0" wp14:anchorId="1DB77411" wp14:editId="21EC677A">
          <wp:extent cx="1657350" cy="266700"/>
          <wp:effectExtent l="0" t="0" r="0" b="0"/>
          <wp:docPr id="1" name="image1.png" descr="Z:\국제여름학교\2014\Promotion materials\Design\HYU.png"/>
          <wp:cNvGraphicFramePr/>
          <a:graphic xmlns:a="http://schemas.openxmlformats.org/drawingml/2006/main">
            <a:graphicData uri="http://schemas.openxmlformats.org/drawingml/2006/picture">
              <pic:pic xmlns:pic="http://schemas.openxmlformats.org/drawingml/2006/picture">
                <pic:nvPicPr>
                  <pic:cNvPr id="0" name="image1.png" descr="Z:\국제여름학교\2014\Promotion materials\Design\HYU.png"/>
                  <pic:cNvPicPr preferRelativeResize="0"/>
                </pic:nvPicPr>
                <pic:blipFill>
                  <a:blip r:embed="rId1"/>
                  <a:srcRect/>
                  <a:stretch>
                    <a:fillRect/>
                  </a:stretch>
                </pic:blipFill>
                <pic:spPr>
                  <a:xfrm>
                    <a:off x="0" y="0"/>
                    <a:ext cx="1657350" cy="2667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B465" w14:textId="77777777" w:rsidR="00036C99" w:rsidRDefault="001F5511">
    <w:pPr>
      <w:pBdr>
        <w:top w:val="nil"/>
        <w:left w:val="nil"/>
        <w:bottom w:val="nil"/>
        <w:right w:val="nil"/>
        <w:between w:val="nil"/>
      </w:pBdr>
      <w:tabs>
        <w:tab w:val="center" w:pos="4513"/>
        <w:tab w:val="right" w:pos="9026"/>
      </w:tabs>
      <w:spacing w:after="160" w:line="259" w:lineRule="auto"/>
      <w:jc w:val="center"/>
      <w:rPr>
        <w:rFonts w:ascii="맑은 고딕" w:eastAsia="맑은 고딕" w:hAnsi="맑은 고딕" w:cs="맑은 고딕"/>
        <w:color w:val="000000"/>
      </w:rPr>
    </w:pPr>
    <w:r>
      <w:rPr>
        <w:rFonts w:ascii="맑은 고딕" w:eastAsia="맑은 고딕" w:hAnsi="맑은 고딕" w:cs="맑은 고딕"/>
        <w:noProof/>
        <w:color w:val="000000"/>
        <w:sz w:val="24"/>
        <w:szCs w:val="24"/>
      </w:rPr>
      <w:drawing>
        <wp:inline distT="0" distB="0" distL="0" distR="0" wp14:anchorId="054A68C0" wp14:editId="12A12E6C">
          <wp:extent cx="3771900" cy="609600"/>
          <wp:effectExtent l="0" t="0" r="0" b="0"/>
          <wp:docPr id="2" name="image1.png" descr="Z:\국제여름학교\2014\Promotion materials\Design\HYU.png"/>
          <wp:cNvGraphicFramePr/>
          <a:graphic xmlns:a="http://schemas.openxmlformats.org/drawingml/2006/main">
            <a:graphicData uri="http://schemas.openxmlformats.org/drawingml/2006/picture">
              <pic:pic xmlns:pic="http://schemas.openxmlformats.org/drawingml/2006/picture">
                <pic:nvPicPr>
                  <pic:cNvPr id="0" name="image1.png" descr="Z:\국제여름학교\2014\Promotion materials\Design\HYU.png"/>
                  <pic:cNvPicPr preferRelativeResize="0"/>
                </pic:nvPicPr>
                <pic:blipFill>
                  <a:blip r:embed="rId1"/>
                  <a:srcRect/>
                  <a:stretch>
                    <a:fillRect/>
                  </a:stretch>
                </pic:blipFill>
                <pic:spPr>
                  <a:xfrm>
                    <a:off x="0" y="0"/>
                    <a:ext cx="3771900" cy="609600"/>
                  </a:xfrm>
                  <a:prstGeom prst="rect">
                    <a:avLst/>
                  </a:prstGeom>
                  <a:ln/>
                </pic:spPr>
              </pic:pic>
            </a:graphicData>
          </a:graphic>
        </wp:inline>
      </w:drawing>
    </w:r>
    <w:r>
      <w:rPr>
        <w:rFonts w:ascii="맑은 고딕" w:eastAsia="맑은 고딕" w:hAnsi="맑은 고딕" w:cs="맑은 고딕"/>
        <w:color w:val="000000"/>
      </w:rPr>
      <w:br/>
    </w:r>
    <w:r>
      <w:rPr>
        <w:rFonts w:ascii="맑은 고딕" w:eastAsia="맑은 고딕" w:hAnsi="맑은 고딕" w:cs="맑은 고딕"/>
        <w:b/>
        <w:color w:val="000000"/>
        <w:sz w:val="28"/>
        <w:szCs w:val="28"/>
      </w:rPr>
      <w:t>Hanyang International Winter School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99"/>
    <w:rsid w:val="00036C99"/>
    <w:rsid w:val="001773F0"/>
    <w:rsid w:val="001F5511"/>
    <w:rsid w:val="009655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4C2DC"/>
  <w15:docId w15:val="{DF92AA06-4E3F-4005-9FFD-A51A3885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sites.google.com/view/hyoungka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youngkang@hanyang.ac.k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5387</Characters>
  <Application>Microsoft Office Word</Application>
  <DocSecurity>0</DocSecurity>
  <Lines>44</Lines>
  <Paragraphs>12</Paragraphs>
  <ScaleCrop>false</ScaleCrop>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노상욱</cp:lastModifiedBy>
  <cp:revision>3</cp:revision>
  <dcterms:created xsi:type="dcterms:W3CDTF">2025-10-10T09:27:00Z</dcterms:created>
  <dcterms:modified xsi:type="dcterms:W3CDTF">2025-10-10T09:29:00Z</dcterms:modified>
</cp:coreProperties>
</file>